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9FBF0CB" w:rsidR="00E66558" w:rsidRPr="005E153D" w:rsidRDefault="005E153D" w:rsidP="00144A02">
      <w:pPr>
        <w:pStyle w:val="Heading1"/>
        <w:jc w:val="center"/>
        <w:rPr>
          <w:sz w:val="44"/>
          <w:szCs w:val="44"/>
        </w:rPr>
      </w:pPr>
      <w:bookmarkStart w:id="0" w:name="_Toc400361362"/>
      <w:bookmarkStart w:id="1" w:name="_Toc443397153"/>
      <w:bookmarkStart w:id="2" w:name="_Toc357771638"/>
      <w:bookmarkStart w:id="3" w:name="_Toc346793416"/>
      <w:bookmarkStart w:id="4" w:name="_Toc328122777"/>
      <w:r w:rsidRPr="005E153D">
        <w:rPr>
          <w:sz w:val="44"/>
          <w:szCs w:val="44"/>
        </w:rPr>
        <w:t xml:space="preserve">Sandown Primary School and Nursery </w:t>
      </w:r>
      <w:r w:rsidR="009D71E8" w:rsidRPr="005E153D">
        <w:rPr>
          <w:sz w:val="44"/>
          <w:szCs w:val="44"/>
        </w:rPr>
        <w:t xml:space="preserve">Pupil </w:t>
      </w:r>
      <w:r w:rsidRPr="005E153D">
        <w:rPr>
          <w:sz w:val="44"/>
          <w:szCs w:val="44"/>
        </w:rPr>
        <w:t>P</w:t>
      </w:r>
      <w:r w:rsidR="009D71E8" w:rsidRPr="005E153D">
        <w:rPr>
          <w:sz w:val="44"/>
          <w:szCs w:val="44"/>
        </w:rPr>
        <w:t xml:space="preserve">remium </w:t>
      </w:r>
      <w:r w:rsidRPr="005E153D">
        <w:rPr>
          <w:sz w:val="44"/>
          <w:szCs w:val="44"/>
        </w:rPr>
        <w:t>S</w:t>
      </w:r>
      <w:r w:rsidR="009D71E8" w:rsidRPr="005E153D">
        <w:rPr>
          <w:sz w:val="44"/>
          <w:szCs w:val="44"/>
        </w:rPr>
        <w:t xml:space="preserve">trategy </w:t>
      </w:r>
      <w:r w:rsidRPr="005E153D">
        <w:rPr>
          <w:sz w:val="44"/>
          <w:szCs w:val="44"/>
        </w:rPr>
        <w:t>S</w:t>
      </w:r>
      <w:r w:rsidR="009D71E8" w:rsidRPr="005E153D">
        <w:rPr>
          <w:sz w:val="44"/>
          <w:szCs w:val="44"/>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44A02" w:rsidRPr="005E153D">
        <w:rPr>
          <w:sz w:val="44"/>
          <w:szCs w:val="44"/>
        </w:rPr>
        <w:t xml:space="preserve">           </w:t>
      </w:r>
    </w:p>
    <w:p w14:paraId="2A7D54B2" w14:textId="482351D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91"/>
        <w:gridCol w:w="3395"/>
      </w:tblGrid>
      <w:tr w:rsidR="00E66558" w14:paraId="2A7D54B7" w14:textId="77777777" w:rsidTr="00D613F3">
        <w:tc>
          <w:tcPr>
            <w:tcW w:w="6091"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4B5" w14:textId="77777777" w:rsidR="00E66558" w:rsidRPr="00D613F3" w:rsidRDefault="009D71E8">
            <w:pPr>
              <w:pStyle w:val="TableHeader"/>
              <w:jc w:val="left"/>
              <w:rPr>
                <w:color w:val="FFFFFF" w:themeColor="background1"/>
              </w:rPr>
            </w:pPr>
            <w:r w:rsidRPr="00D613F3">
              <w:rPr>
                <w:color w:val="FFFFFF" w:themeColor="background1"/>
              </w:rP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4B6" w14:textId="77777777" w:rsidR="00E66558" w:rsidRPr="00D613F3" w:rsidRDefault="009D71E8">
            <w:pPr>
              <w:pStyle w:val="TableHeader"/>
              <w:jc w:val="left"/>
              <w:rPr>
                <w:color w:val="FFFFFF" w:themeColor="background1"/>
              </w:rPr>
            </w:pPr>
            <w:r w:rsidRPr="00D613F3">
              <w:rPr>
                <w:color w:val="FFFFFF" w:themeColor="background1"/>
              </w:rPr>
              <w:t>Data</w:t>
            </w:r>
          </w:p>
        </w:tc>
      </w:tr>
      <w:tr w:rsidR="00E66558" w14:paraId="2A7D54BA"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8261698" w:rsidR="00E66558" w:rsidRDefault="0072093B">
            <w:pPr>
              <w:pStyle w:val="TableRow"/>
            </w:pPr>
            <w:r>
              <w:t>Sandown Primary School and Nursery</w:t>
            </w:r>
            <w:r w:rsidR="00A10014">
              <w:t xml:space="preserve"> </w:t>
            </w:r>
          </w:p>
        </w:tc>
      </w:tr>
      <w:tr w:rsidR="00E66558" w14:paraId="2A7D54BD"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D0405C9" w:rsidR="00E66558" w:rsidRDefault="00144C2B">
            <w:pPr>
              <w:pStyle w:val="TableRow"/>
            </w:pPr>
            <w:r>
              <w:t>4</w:t>
            </w:r>
            <w:r w:rsidR="00C14E0D">
              <w:t>70</w:t>
            </w:r>
          </w:p>
        </w:tc>
      </w:tr>
      <w:tr w:rsidR="00E66558" w14:paraId="2A7D54C0"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0047885" w:rsidR="00E66558" w:rsidRDefault="00C14E0D">
            <w:pPr>
              <w:pStyle w:val="TableRow"/>
            </w:pPr>
            <w:r>
              <w:t>42</w:t>
            </w:r>
            <w:r w:rsidR="00144C2B">
              <w:t>%</w:t>
            </w:r>
          </w:p>
        </w:tc>
      </w:tr>
      <w:tr w:rsidR="00E66558" w14:paraId="2A7D54C3"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099F58C" w:rsidR="00E66558" w:rsidRDefault="006D1A30">
            <w:pPr>
              <w:pStyle w:val="TableRow"/>
            </w:pPr>
            <w:r>
              <w:t>202</w:t>
            </w:r>
            <w:r w:rsidR="00C14E0D">
              <w:t>5</w:t>
            </w:r>
            <w:r>
              <w:t>/202</w:t>
            </w:r>
            <w:r w:rsidR="00C14E0D">
              <w:t>8</w:t>
            </w:r>
          </w:p>
        </w:tc>
      </w:tr>
      <w:tr w:rsidR="00E66558" w14:paraId="2A7D54C6"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8CC3FF4" w:rsidR="00E66558" w:rsidRDefault="00C14E0D">
            <w:pPr>
              <w:pStyle w:val="TableRow"/>
            </w:pPr>
            <w:r>
              <w:t>December</w:t>
            </w:r>
            <w:r w:rsidR="00085443">
              <w:t xml:space="preserve"> 202</w:t>
            </w:r>
            <w:r>
              <w:t>5</w:t>
            </w:r>
          </w:p>
        </w:tc>
      </w:tr>
      <w:tr w:rsidR="00E66558" w14:paraId="2A7D54C9"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3488664" w:rsidR="00E66558" w:rsidRDefault="006D1A30">
            <w:pPr>
              <w:pStyle w:val="TableRow"/>
            </w:pPr>
            <w:r>
              <w:t>Ju</w:t>
            </w:r>
            <w:r w:rsidR="00C14E0D">
              <w:t>ly</w:t>
            </w:r>
            <w:r>
              <w:t xml:space="preserve"> 202</w:t>
            </w:r>
            <w:r w:rsidR="00C14E0D">
              <w:t>6</w:t>
            </w:r>
          </w:p>
        </w:tc>
      </w:tr>
      <w:tr w:rsidR="00E66558" w14:paraId="2A7D54CC"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0684D71" w:rsidR="00E66558" w:rsidRDefault="00D04393">
            <w:pPr>
              <w:pStyle w:val="TableRow"/>
            </w:pPr>
            <w:r>
              <w:t xml:space="preserve">Charlie Lindsay </w:t>
            </w:r>
            <w:r w:rsidR="0072093B">
              <w:t>Headteacher</w:t>
            </w:r>
          </w:p>
        </w:tc>
      </w:tr>
      <w:tr w:rsidR="00E66558" w14:paraId="2A7D54CF"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AF12258" w:rsidR="00D04393" w:rsidRDefault="006D1A30">
            <w:pPr>
              <w:pStyle w:val="TableRow"/>
            </w:pPr>
            <w:r>
              <w:t>Charlie Lindsay</w:t>
            </w:r>
            <w:r w:rsidR="0072093B">
              <w:t xml:space="preserve"> Headteacher</w:t>
            </w:r>
          </w:p>
        </w:tc>
      </w:tr>
      <w:tr w:rsidR="00E66558" w14:paraId="2A7D54D2" w14:textId="77777777" w:rsidTr="002F6F9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2E8F6C65" w:rsidR="00E66558" w:rsidRDefault="009D71E8" w:rsidP="00BF1B47">
            <w:pPr>
              <w:pStyle w:val="TableRow"/>
            </w:pPr>
            <w:r>
              <w:t xml:space="preserve">Governor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2EFB769" w:rsidR="00E66558" w:rsidRDefault="0072093B">
            <w:pPr>
              <w:pStyle w:val="TableRow"/>
            </w:pPr>
            <w:r>
              <w:t>Jig Patel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D613F3">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2A7D54D4" w14:textId="77777777" w:rsidR="00E66558" w:rsidRPr="00D613F3" w:rsidRDefault="009D71E8">
            <w:pPr>
              <w:pStyle w:val="TableRow"/>
              <w:rPr>
                <w:color w:val="FFFFFF" w:themeColor="background1"/>
              </w:rPr>
            </w:pPr>
            <w:r w:rsidRPr="00D613F3">
              <w:rPr>
                <w:b/>
                <w:color w:val="FFFFFF" w:themeColor="background1"/>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2A7D54D5" w14:textId="77777777" w:rsidR="00E66558" w:rsidRPr="00D613F3" w:rsidRDefault="009D71E8">
            <w:pPr>
              <w:pStyle w:val="TableRow"/>
              <w:rPr>
                <w:color w:val="FFFFFF" w:themeColor="background1"/>
              </w:rPr>
            </w:pPr>
            <w:r w:rsidRPr="00D613F3">
              <w:rPr>
                <w:b/>
                <w:color w:val="FFFFFF" w:themeColor="background1"/>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E727E11" w:rsidR="00E66558" w:rsidRDefault="00144C2B">
            <w:pPr>
              <w:pStyle w:val="TableRow"/>
            </w:pPr>
            <w:r>
              <w:t>£</w:t>
            </w:r>
            <w:r w:rsidR="00C14E0D">
              <w:t>269,555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8E0A2" w14:textId="77777777" w:rsidR="00E66558" w:rsidRDefault="009D71E8">
            <w:pPr>
              <w:pStyle w:val="TableRow"/>
            </w:pPr>
            <w:r>
              <w:t>Recovery premium funding allocation this academic year</w:t>
            </w:r>
            <w:r w:rsidR="00E3627D">
              <w:t>:</w:t>
            </w:r>
          </w:p>
          <w:p w14:paraId="2A7D54DA" w14:textId="224DE331" w:rsidR="00E3627D" w:rsidRDefault="00E3627D">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2C23" w14:textId="41B05688" w:rsidR="00E3627D" w:rsidRDefault="005D7081" w:rsidP="00E3627D">
            <w:pPr>
              <w:pStyle w:val="TableRow"/>
            </w:pPr>
            <w:r>
              <w:t>£0</w:t>
            </w:r>
          </w:p>
          <w:p w14:paraId="2A7D54DB" w14:textId="21118C9E" w:rsidR="00E3627D" w:rsidRDefault="00E3627D" w:rsidP="000A5854">
            <w:pPr>
              <w:pStyle w:val="TableRow"/>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EDC8D43" w:rsidR="00E66558" w:rsidRDefault="00E66558">
            <w:pPr>
              <w:pStyle w:val="TableRow"/>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D1E95BA" w:rsidR="00E66558" w:rsidRDefault="00EF1298">
            <w:pPr>
              <w:pStyle w:val="TableRow"/>
            </w:pPr>
            <w:r>
              <w:t>£</w:t>
            </w:r>
            <w:r w:rsidR="00C14E0D">
              <w:t>269,555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F65434">
        <w:trPr>
          <w:trHeight w:val="50"/>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5C9F8" w14:textId="77777777" w:rsidR="005D7081" w:rsidRDefault="002232EE" w:rsidP="002232EE">
            <w:pPr>
              <w:rPr>
                <w:rFonts w:cs="Arial"/>
                <w:color w:val="auto"/>
              </w:rPr>
            </w:pPr>
            <w:r>
              <w:rPr>
                <w:rFonts w:cs="Arial"/>
                <w:color w:val="auto"/>
              </w:rPr>
              <w:t xml:space="preserve"> </w:t>
            </w:r>
          </w:p>
          <w:p w14:paraId="1D4F34F7" w14:textId="4D1BC51D" w:rsidR="00997678" w:rsidRDefault="00997678" w:rsidP="002232EE">
            <w:r>
              <w:t xml:space="preserve">At Sandown, we expect all learners, irrespective of their background or home situation, to ‘be the best that they can be.’ Our Disadvantaged Pupils need teaching that is at least good in order to close the attainment gap and ensure that these pupils make accelerated progress from their lower than national starting points. High-quality Wave One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38CD39A1" w14:textId="77777777" w:rsidR="005D7081" w:rsidRDefault="005D7081" w:rsidP="002232EE"/>
          <w:p w14:paraId="25ED9169" w14:textId="0502002C" w:rsidR="00997678" w:rsidRDefault="00997678" w:rsidP="002232EE">
            <w:r>
              <w:t xml:space="preserve">The focus of our pupil premium strategy is to support disadvantaged pupils to achieve that goal, including progress for those who are already high attainers. Many of the families at Sandown will work with a social worker or a keyworker at some point during their school journey and therefore we will consider those additional challenges within this strategy spend. </w:t>
            </w:r>
          </w:p>
          <w:p w14:paraId="154E788C" w14:textId="77777777" w:rsidR="005D7081" w:rsidRDefault="005D7081" w:rsidP="002232EE"/>
          <w:p w14:paraId="0ABD0374" w14:textId="34289E52" w:rsidR="00997678" w:rsidRDefault="00997678" w:rsidP="002232EE">
            <w:r>
              <w:t xml:space="preserve">Our strategy is also integral to wider school plans for education recovery, notably in its targeted support through the National Tutoring Programme for pupils whose education has been worst affected, including non-disadvantaged pupils. </w:t>
            </w:r>
          </w:p>
          <w:p w14:paraId="22F99922" w14:textId="77777777" w:rsidR="00997678" w:rsidRDefault="00997678" w:rsidP="002232EE">
            <w:r>
              <w:t xml:space="preserve">The approaches we have adopted are a proven approach with higher than national outcomes at KS2. To ensure they are effective we will: </w:t>
            </w:r>
          </w:p>
          <w:p w14:paraId="2D7D1E47" w14:textId="77777777" w:rsidR="00211547" w:rsidRDefault="00211547" w:rsidP="00211547">
            <w:pPr>
              <w:pStyle w:val="ListParagraph"/>
              <w:numPr>
                <w:ilvl w:val="0"/>
                <w:numId w:val="20"/>
              </w:numPr>
            </w:pPr>
            <w:r>
              <w:t>E</w:t>
            </w:r>
            <w:r w:rsidR="00997678">
              <w:t>nsure disadvantaged pupils are challenged in the work that they’re set</w:t>
            </w:r>
          </w:p>
          <w:p w14:paraId="51CCB753" w14:textId="77777777" w:rsidR="00211547" w:rsidRDefault="00211547" w:rsidP="002232EE">
            <w:pPr>
              <w:pStyle w:val="ListParagraph"/>
              <w:numPr>
                <w:ilvl w:val="0"/>
                <w:numId w:val="20"/>
              </w:numPr>
            </w:pPr>
            <w:r>
              <w:t>E</w:t>
            </w:r>
            <w:r w:rsidR="00997678">
              <w:t xml:space="preserve">nsure early identification of additional needs </w:t>
            </w:r>
          </w:p>
          <w:p w14:paraId="587A49A1" w14:textId="77777777" w:rsidR="00E66558" w:rsidRDefault="00997678" w:rsidP="002232EE">
            <w:pPr>
              <w:pStyle w:val="ListParagraph"/>
              <w:numPr>
                <w:ilvl w:val="0"/>
                <w:numId w:val="20"/>
              </w:numPr>
            </w:pPr>
            <w:r>
              <w:t xml:space="preserve"> </w:t>
            </w:r>
            <w:r w:rsidR="00211547">
              <w:t>A</w:t>
            </w:r>
            <w:r>
              <w:t>dopt a whole school approach in which all staff take responsibility for disadvantaged pupils’ outcomes and raise expectations of what they can achieve</w:t>
            </w:r>
          </w:p>
          <w:p w14:paraId="73288AC1" w14:textId="77777777" w:rsidR="005D7081" w:rsidRDefault="005D7081" w:rsidP="005D7081"/>
          <w:p w14:paraId="532EFFE5" w14:textId="77777777" w:rsidR="005D7081" w:rsidRDefault="005D7081" w:rsidP="005D7081"/>
          <w:p w14:paraId="2A7D54E9" w14:textId="50331810" w:rsidR="005D7081" w:rsidRPr="00211547" w:rsidRDefault="005D7081" w:rsidP="005D7081"/>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D613F3">
        <w:tc>
          <w:tcPr>
            <w:tcW w:w="1477"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4ED" w14:textId="77777777" w:rsidR="00E66558" w:rsidRPr="00D613F3" w:rsidRDefault="009D71E8">
            <w:pPr>
              <w:pStyle w:val="TableHeader"/>
              <w:jc w:val="left"/>
              <w:rPr>
                <w:color w:val="FFFFFF" w:themeColor="background1"/>
              </w:rPr>
            </w:pPr>
            <w:r w:rsidRPr="00D613F3">
              <w:rPr>
                <w:color w:val="FFFFFF" w:themeColor="background1"/>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4EE" w14:textId="77777777" w:rsidR="00E66558" w:rsidRPr="00D613F3" w:rsidRDefault="009D71E8">
            <w:pPr>
              <w:pStyle w:val="TableHeader"/>
              <w:jc w:val="left"/>
              <w:rPr>
                <w:color w:val="FFFFFF" w:themeColor="background1"/>
              </w:rPr>
            </w:pPr>
            <w:r w:rsidRPr="00D613F3">
              <w:rPr>
                <w:color w:val="FFFFFF" w:themeColor="background1"/>
              </w:rP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9565062" w:rsidR="00E66558" w:rsidRDefault="00E1105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9671DD0" w:rsidR="00E66558" w:rsidRPr="007A3E85" w:rsidRDefault="00997678" w:rsidP="00FD035D">
            <w:pPr>
              <w:pStyle w:val="TableRowCentered"/>
              <w:jc w:val="left"/>
              <w:rPr>
                <w:szCs w:val="24"/>
              </w:rPr>
            </w:pPr>
            <w:r>
              <w:t>Ensuring quality of education and quality of all teaching is judged as at least good across all year groups including newly appointed staff and ECTs.</w:t>
            </w:r>
          </w:p>
        </w:tc>
      </w:tr>
      <w:tr w:rsidR="00E11051" w14:paraId="1415A4D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4B7EF" w14:textId="72E88E17" w:rsidR="00E11051" w:rsidRDefault="00E11051" w:rsidP="00E1105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145F6" w14:textId="04ACF299" w:rsidR="00E11051" w:rsidRPr="007A3E85" w:rsidRDefault="00EF1298" w:rsidP="00E11051">
            <w:pPr>
              <w:pStyle w:val="TableRowCentered"/>
              <w:jc w:val="left"/>
              <w:rPr>
                <w:iCs/>
                <w:szCs w:val="24"/>
              </w:rPr>
            </w:pPr>
            <w:r>
              <w:t>Assessments, observations, and discussions with pupils suggest disadvantaged pupils generally have greater difficulties with phonics than their peers. This negatively impacts their development as readers. In addition, helping children develop a love of reading for life is a priority.</w:t>
            </w:r>
          </w:p>
        </w:tc>
      </w:tr>
      <w:tr w:rsidR="00E1105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7271493" w:rsidR="00E11051" w:rsidRDefault="00E11051" w:rsidP="00E1105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3A342F6" w:rsidR="00E11051" w:rsidRPr="007A3E85" w:rsidRDefault="00EF1298" w:rsidP="00E11051">
            <w:pPr>
              <w:pStyle w:val="TableRowCentered"/>
              <w:jc w:val="left"/>
              <w:rPr>
                <w:szCs w:val="24"/>
              </w:rPr>
            </w:pPr>
            <w:r>
              <w:t>Low level starting points for our Disadvantaged Pupils in Communication, Speech and Language EYFS baseline.</w:t>
            </w:r>
          </w:p>
        </w:tc>
      </w:tr>
      <w:tr w:rsidR="00E11051"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A99C506" w:rsidR="00E11051" w:rsidRDefault="009A71B7" w:rsidP="00E1105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8E43183" w:rsidR="00E11051" w:rsidRPr="007A3E85" w:rsidRDefault="00EF1298" w:rsidP="00602EF0">
            <w:pPr>
              <w:pStyle w:val="TableRowCentered"/>
              <w:jc w:val="left"/>
              <w:rPr>
                <w:iCs/>
                <w:szCs w:val="24"/>
              </w:rPr>
            </w:pPr>
            <w:r>
              <w:t>Our attendance data over the last 3 years indicates that attendance among disadvantaged pupils has been between 1.3- 1.</w:t>
            </w:r>
            <w:r w:rsidR="00181682">
              <w:t>8</w:t>
            </w:r>
            <w:r>
              <w:t>% lower than for non-disadvantaged pupils. Our assessments and observations indicate that absenteeism is negatively impacting disadvantaged pupils’ progress.</w:t>
            </w:r>
          </w:p>
        </w:tc>
      </w:tr>
      <w:tr w:rsidR="00EF1298" w14:paraId="3E9B17E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79207" w14:textId="5EF1B663" w:rsidR="00EF1298" w:rsidRDefault="00EF1298" w:rsidP="00E1105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FF11" w14:textId="3D6A1E7E" w:rsidR="00EF1298" w:rsidRDefault="00EF1298" w:rsidP="00602EF0">
            <w:pPr>
              <w:pStyle w:val="TableRowCentered"/>
              <w:jc w:val="left"/>
            </w:pPr>
            <w:r>
              <w:t>Attainment and attendance of mobile pupils who have joined the school within the last 2 years are lower than those who have been at the school since nursery/ reception</w:t>
            </w:r>
          </w:p>
        </w:tc>
      </w:tr>
      <w:tr w:rsidR="00152A85" w14:paraId="10F1980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9385D" w14:textId="4379DEFB" w:rsidR="00152A85" w:rsidRDefault="00152A85" w:rsidP="00E1105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40647" w14:textId="4947E63F" w:rsidR="00152A85" w:rsidRDefault="00152A85" w:rsidP="00602EF0">
            <w:pPr>
              <w:pStyle w:val="TableRowCentered"/>
              <w:jc w:val="left"/>
            </w:pPr>
            <w:r>
              <w:t>Mental health and wellbeing of both children and parents continues to be a barrier to some of our disadvantaged pupils attending school and being supported with their learning between home and school.</w:t>
            </w:r>
          </w:p>
        </w:tc>
      </w:tr>
    </w:tbl>
    <w:p w14:paraId="2A7D54FF" w14:textId="46CD691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D613F3">
        <w:tc>
          <w:tcPr>
            <w:tcW w:w="481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01" w14:textId="77777777" w:rsidR="00E66558" w:rsidRPr="00D613F3" w:rsidRDefault="009D71E8">
            <w:pPr>
              <w:pStyle w:val="TableHeader"/>
              <w:jc w:val="left"/>
              <w:rPr>
                <w:color w:val="FFFFFF" w:themeColor="background1"/>
              </w:rPr>
            </w:pPr>
            <w:r w:rsidRPr="00D613F3">
              <w:rPr>
                <w:color w:val="FFFFFF" w:themeColor="background1"/>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02" w14:textId="77777777" w:rsidR="00E66558" w:rsidRPr="00D613F3" w:rsidRDefault="009D71E8">
            <w:pPr>
              <w:pStyle w:val="TableHeader"/>
              <w:jc w:val="left"/>
              <w:rPr>
                <w:color w:val="FFFFFF" w:themeColor="background1"/>
              </w:rPr>
            </w:pPr>
            <w:r w:rsidRPr="00D613F3">
              <w:rPr>
                <w:color w:val="FFFFFF" w:themeColor="background1"/>
              </w:rPr>
              <w:t>Success criteria</w:t>
            </w:r>
          </w:p>
        </w:tc>
      </w:tr>
      <w:tr w:rsidR="00E95372" w14:paraId="2A7D5506" w14:textId="77777777" w:rsidTr="00BB6A7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591A9CB" w:rsidR="00E95372" w:rsidRPr="000D7866" w:rsidRDefault="00E95372" w:rsidP="00E95372">
            <w:pPr>
              <w:pStyle w:val="TableRow"/>
            </w:pPr>
            <w:r w:rsidRPr="000D7866">
              <w:t>Closing the attainment gap between Disadvantaged Pupils and all learners.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7C093A" w14:textId="05593458" w:rsidR="00E95372" w:rsidRDefault="00E95372" w:rsidP="00E11051">
            <w:pPr>
              <w:pStyle w:val="TableRowCentered"/>
              <w:jc w:val="left"/>
              <w:rPr>
                <w:rFonts w:cs="Arial"/>
                <w:color w:val="auto"/>
                <w:szCs w:val="24"/>
                <w:lang w:eastAsia="en-US"/>
              </w:rPr>
            </w:pPr>
            <w:r w:rsidRPr="000D7866">
              <w:rPr>
                <w:rFonts w:cs="Arial"/>
                <w:color w:val="auto"/>
                <w:szCs w:val="24"/>
              </w:rPr>
              <w:t>KS2</w:t>
            </w:r>
            <w:r w:rsidRPr="000D7866">
              <w:rPr>
                <w:rFonts w:cs="Arial"/>
                <w:color w:val="auto"/>
                <w:szCs w:val="24"/>
                <w:lang w:eastAsia="en-US"/>
              </w:rPr>
              <w:t xml:space="preserve"> reading</w:t>
            </w:r>
            <w:r w:rsidR="00505693">
              <w:rPr>
                <w:rFonts w:cs="Arial"/>
                <w:color w:val="auto"/>
                <w:szCs w:val="24"/>
                <w:lang w:eastAsia="en-US"/>
              </w:rPr>
              <w:t>, writing</w:t>
            </w:r>
            <w:r w:rsidRPr="000D7866">
              <w:rPr>
                <w:rFonts w:cs="Arial"/>
                <w:color w:val="auto"/>
                <w:szCs w:val="24"/>
                <w:lang w:eastAsia="en-US"/>
              </w:rPr>
              <w:t xml:space="preserve"> and maths outcomes in 202</w:t>
            </w:r>
            <w:r w:rsidR="00F64468">
              <w:rPr>
                <w:rFonts w:cs="Arial"/>
                <w:color w:val="auto"/>
                <w:szCs w:val="24"/>
                <w:lang w:eastAsia="en-US"/>
              </w:rPr>
              <w:t>5</w:t>
            </w:r>
            <w:r w:rsidRPr="000D7866">
              <w:rPr>
                <w:rFonts w:cs="Arial"/>
                <w:color w:val="auto"/>
                <w:szCs w:val="24"/>
                <w:lang w:eastAsia="en-US"/>
              </w:rPr>
              <w:t xml:space="preserve"> show that 80% of disadvantaged pupils me</w:t>
            </w:r>
            <w:r w:rsidR="00602EF0">
              <w:rPr>
                <w:rFonts w:cs="Arial"/>
                <w:color w:val="auto"/>
                <w:szCs w:val="24"/>
                <w:lang w:eastAsia="en-US"/>
              </w:rPr>
              <w:t>e</w:t>
            </w:r>
            <w:r w:rsidRPr="000D7866">
              <w:rPr>
                <w:rFonts w:cs="Arial"/>
                <w:color w:val="auto"/>
                <w:szCs w:val="24"/>
                <w:lang w:eastAsia="en-US"/>
              </w:rPr>
              <w:t>t the expected standard.</w:t>
            </w:r>
          </w:p>
          <w:p w14:paraId="2A7D5505" w14:textId="580BC0A1" w:rsidR="00505693" w:rsidRPr="000D7866" w:rsidRDefault="00505693" w:rsidP="00E11051">
            <w:pPr>
              <w:pStyle w:val="TableRowCentered"/>
              <w:jc w:val="left"/>
              <w:rPr>
                <w:szCs w:val="24"/>
              </w:rPr>
            </w:pPr>
            <w:r>
              <w:rPr>
                <w:rFonts w:cs="Arial"/>
                <w:szCs w:val="24"/>
              </w:rPr>
              <w:t>GLD percentages for disadvantaged continue to show an upward improvement and the gap closes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40F2BC1" w:rsidR="00E66558" w:rsidRPr="000D7866" w:rsidRDefault="00505693">
            <w:pPr>
              <w:pStyle w:val="TableRow"/>
            </w:pPr>
            <w:r>
              <w:t>All pupils reach the expected standard in reading by the time they leave the school in Year 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1AF1" w14:textId="6FA69950" w:rsidR="00E66558" w:rsidRDefault="00505693">
            <w:pPr>
              <w:pStyle w:val="TableRowCentered"/>
              <w:jc w:val="left"/>
              <w:rPr>
                <w:szCs w:val="24"/>
              </w:rPr>
            </w:pPr>
            <w:r>
              <w:rPr>
                <w:szCs w:val="24"/>
              </w:rPr>
              <w:t>The gap between disadvantaged an</w:t>
            </w:r>
            <w:r w:rsidR="0025477E">
              <w:rPr>
                <w:szCs w:val="24"/>
              </w:rPr>
              <w:t>d</w:t>
            </w:r>
            <w:r>
              <w:rPr>
                <w:szCs w:val="24"/>
              </w:rPr>
              <w:t xml:space="preserve"> non-disadvantaged pupils closes year on year.</w:t>
            </w:r>
          </w:p>
          <w:p w14:paraId="66C97AC6" w14:textId="6D8E3B47" w:rsidR="00505693" w:rsidRDefault="00505693" w:rsidP="00505693">
            <w:pPr>
              <w:pStyle w:val="TableRowCentered"/>
              <w:jc w:val="left"/>
              <w:rPr>
                <w:szCs w:val="24"/>
              </w:rPr>
            </w:pPr>
            <w:r>
              <w:rPr>
                <w:szCs w:val="24"/>
              </w:rPr>
              <w:lastRenderedPageBreak/>
              <w:t>Read, write, inc assessments ensure ALL pupils are taught basic phonics and make at least good progress</w:t>
            </w:r>
            <w:r w:rsidR="007E5C15">
              <w:rPr>
                <w:szCs w:val="24"/>
              </w:rPr>
              <w:t>.</w:t>
            </w:r>
          </w:p>
          <w:p w14:paraId="2A7D5508" w14:textId="09C3B309" w:rsidR="00505693" w:rsidRPr="000D7866" w:rsidRDefault="00505693">
            <w:pPr>
              <w:pStyle w:val="TableRowCentered"/>
              <w:jc w:val="left"/>
              <w:rPr>
                <w:szCs w:val="24"/>
              </w:rPr>
            </w:pPr>
          </w:p>
        </w:tc>
      </w:tr>
      <w:tr w:rsidR="00E95372" w14:paraId="2A7D550C" w14:textId="77777777" w:rsidTr="00C04E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19E5D279" w:rsidR="00E95372" w:rsidRPr="000D7866" w:rsidRDefault="00E95372" w:rsidP="00E95372">
            <w:pPr>
              <w:pStyle w:val="TableRow"/>
            </w:pPr>
            <w:r w:rsidRPr="000D7866">
              <w:rPr>
                <w:rFonts w:cs="Arial"/>
                <w:color w:val="auto"/>
              </w:rPr>
              <w:lastRenderedPageBreak/>
              <w:t>To achieve and sustain improved attendance for all pupils, 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89A789" w14:textId="7413E97F" w:rsidR="00E95372" w:rsidRPr="005D7081" w:rsidRDefault="002232EE" w:rsidP="005D7081">
            <w:pPr>
              <w:suppressAutoHyphens w:val="0"/>
              <w:autoSpaceDN/>
              <w:spacing w:before="60" w:after="60" w:line="240" w:lineRule="auto"/>
              <w:ind w:right="57"/>
              <w:rPr>
                <w:rFonts w:cs="Arial"/>
                <w:color w:val="auto"/>
              </w:rPr>
            </w:pPr>
            <w:r w:rsidRPr="005D7081">
              <w:rPr>
                <w:rFonts w:cs="Arial"/>
                <w:color w:val="auto"/>
              </w:rPr>
              <w:t>T</w:t>
            </w:r>
            <w:r w:rsidR="00E95372" w:rsidRPr="005D7081">
              <w:rPr>
                <w:rFonts w:cs="Arial"/>
                <w:color w:val="auto"/>
              </w:rPr>
              <w:t>he overall attendance rate for all pupils to be 97% and the attendance gap between disadvantaged pupils and their non-disadvantaged peers being reduced by 1%.</w:t>
            </w:r>
          </w:p>
          <w:p w14:paraId="69D4DC8A" w14:textId="77777777" w:rsidR="005D7081" w:rsidRDefault="005D7081" w:rsidP="00E95372">
            <w:pPr>
              <w:pStyle w:val="TableRowCentered"/>
              <w:jc w:val="left"/>
              <w:rPr>
                <w:rFonts w:cs="Arial"/>
                <w:color w:val="auto"/>
                <w:szCs w:val="24"/>
              </w:rPr>
            </w:pPr>
          </w:p>
          <w:p w14:paraId="2A7D550B" w14:textId="625ECC6A" w:rsidR="00E95372" w:rsidRPr="000D7866" w:rsidRDefault="00602EF0" w:rsidP="005D7081">
            <w:pPr>
              <w:pStyle w:val="TableRowCentered"/>
              <w:ind w:left="0"/>
              <w:jc w:val="left"/>
              <w:rPr>
                <w:szCs w:val="24"/>
              </w:rPr>
            </w:pPr>
            <w:r>
              <w:rPr>
                <w:rFonts w:cs="Arial"/>
                <w:color w:val="auto"/>
                <w:szCs w:val="24"/>
              </w:rPr>
              <w:t>T</w:t>
            </w:r>
            <w:r w:rsidR="00E95372" w:rsidRPr="000D7866">
              <w:rPr>
                <w:rFonts w:cs="Arial"/>
                <w:color w:val="auto"/>
                <w:szCs w:val="24"/>
              </w:rPr>
              <w:t>he percentage of all pupils who are p</w:t>
            </w:r>
            <w:r w:rsidR="00A811E0" w:rsidRPr="000D7866">
              <w:rPr>
                <w:rFonts w:cs="Arial"/>
                <w:color w:val="auto"/>
                <w:szCs w:val="24"/>
              </w:rPr>
              <w:t>ersistently absent being below 8</w:t>
            </w:r>
            <w:r w:rsidR="00E95372" w:rsidRPr="000D7866">
              <w:rPr>
                <w:rFonts w:cs="Arial"/>
                <w:color w:val="auto"/>
                <w:szCs w:val="24"/>
              </w:rPr>
              <w:t>% and the figure among disadvantaged pupils being no more than 1% lower than their peers.</w:t>
            </w:r>
          </w:p>
        </w:tc>
      </w:tr>
      <w:tr w:rsidR="00DD4336" w14:paraId="57CF681D" w14:textId="77777777" w:rsidTr="00C04E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6A4A2" w14:textId="15E5DE86" w:rsidR="00DD4336" w:rsidRPr="000D7866" w:rsidRDefault="00DD4336" w:rsidP="00E95372">
            <w:pPr>
              <w:pStyle w:val="TableRow"/>
              <w:rPr>
                <w:rFonts w:cs="Arial"/>
                <w:color w:val="auto"/>
              </w:rPr>
            </w:pPr>
            <w:r>
              <w:rPr>
                <w:rFonts w:cs="Arial"/>
                <w:color w:val="auto"/>
              </w:rPr>
              <w:t>The quality of teaching across the school is at least good in ALL classes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06D2BD" w14:textId="6BBD1DC5" w:rsidR="00DD4336" w:rsidRPr="00DD4336" w:rsidRDefault="00DD4336" w:rsidP="00DD4336">
            <w:pPr>
              <w:suppressAutoHyphens w:val="0"/>
              <w:autoSpaceDN/>
              <w:spacing w:before="60" w:after="60" w:line="240" w:lineRule="auto"/>
              <w:ind w:right="57"/>
              <w:rPr>
                <w:rFonts w:cs="Arial"/>
                <w:color w:val="auto"/>
              </w:rPr>
            </w:pPr>
            <w:r w:rsidRPr="00DD4336">
              <w:rPr>
                <w:rFonts w:cs="Arial"/>
                <w:color w:val="auto"/>
              </w:rPr>
              <w:t xml:space="preserve">Teacher standards monitoring evidences </w:t>
            </w:r>
            <w:r>
              <w:rPr>
                <w:rFonts w:cs="Arial"/>
                <w:color w:val="auto"/>
              </w:rPr>
              <w:t>that teaching continues to improve with a focus on adaptive teaching and teacher standard 5.</w:t>
            </w:r>
          </w:p>
        </w:tc>
      </w:tr>
      <w:tr w:rsidR="00E9537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78B2531" w:rsidR="00E95372" w:rsidRPr="000D7866" w:rsidRDefault="000208D4" w:rsidP="00E95372">
            <w:pPr>
              <w:pStyle w:val="TableRow"/>
            </w:pPr>
            <w:r w:rsidRPr="000D7866">
              <w:t xml:space="preserve">Accelerated progress for </w:t>
            </w:r>
            <w:r>
              <w:t>Mobile/disadvantaged</w:t>
            </w:r>
            <w:r w:rsidRPr="000D7866">
              <w:t xml:space="preserv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E3D3EF5" w:rsidR="00E95372" w:rsidRPr="000D7866" w:rsidRDefault="000208D4" w:rsidP="00E95372">
            <w:pPr>
              <w:pStyle w:val="TableRowCentered"/>
              <w:jc w:val="left"/>
              <w:rPr>
                <w:szCs w:val="24"/>
              </w:rPr>
            </w:pPr>
            <w:r w:rsidRPr="000208D4">
              <w:rPr>
                <w:szCs w:val="24"/>
              </w:rPr>
              <w:t>Progress</w:t>
            </w:r>
            <w:r>
              <w:rPr>
                <w:szCs w:val="24"/>
              </w:rPr>
              <w:t xml:space="preserve"> and attainment</w:t>
            </w:r>
            <w:r w:rsidRPr="000208D4">
              <w:rPr>
                <w:szCs w:val="24"/>
              </w:rPr>
              <w:t xml:space="preserve"> data for </w:t>
            </w:r>
            <w:r>
              <w:rPr>
                <w:szCs w:val="24"/>
              </w:rPr>
              <w:t>Mobile</w:t>
            </w:r>
            <w:r w:rsidRPr="000208D4">
              <w:rPr>
                <w:szCs w:val="24"/>
              </w:rPr>
              <w:t xml:space="preserve"> Pupils demonstrates that the gap from low starting points </w:t>
            </w:r>
            <w:r w:rsidR="002E3609">
              <w:rPr>
                <w:szCs w:val="24"/>
              </w:rPr>
              <w:t>is</w:t>
            </w:r>
            <w:r>
              <w:rPr>
                <w:szCs w:val="24"/>
              </w:rPr>
              <w:t xml:space="preserve"> carefully monitored and that the gap closes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64F7B25"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51475F53" w:rsidR="00E66558" w:rsidRDefault="009D71E8">
      <w:pPr>
        <w:pStyle w:val="Heading3"/>
      </w:pPr>
      <w:r>
        <w:t>Teaching (CPD, recruitment and retention</w:t>
      </w:r>
      <w:r w:rsidR="00786CB8">
        <w:t>,</w:t>
      </w:r>
      <w:r w:rsidR="00927600">
        <w:t xml:space="preserve"> </w:t>
      </w:r>
      <w:r w:rsidR="00786CB8">
        <w:t>wider partnership working Alliance</w:t>
      </w:r>
      <w:r>
        <w:t>)</w:t>
      </w:r>
    </w:p>
    <w:p w14:paraId="2A7D5515" w14:textId="3C09FE06" w:rsidR="00E66558" w:rsidRDefault="009D71E8">
      <w:r>
        <w:t>Budgeted cost</w:t>
      </w:r>
      <w:r w:rsidRPr="002E7183">
        <w:rPr>
          <w:b/>
          <w:bCs/>
        </w:rPr>
        <w:t xml:space="preserve">: </w:t>
      </w:r>
      <w:r w:rsidR="00006298" w:rsidRPr="002E7183">
        <w:rPr>
          <w:b/>
          <w:bCs/>
        </w:rPr>
        <w:t>£</w:t>
      </w:r>
      <w:r w:rsidR="00AF1D33">
        <w:rPr>
          <w:b/>
          <w:bCs/>
        </w:rPr>
        <w:t>94</w:t>
      </w:r>
      <w:r w:rsidR="002E7183" w:rsidRPr="002E7183">
        <w:rPr>
          <w:b/>
          <w:bCs/>
        </w:rPr>
        <w:t>,850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D613F3">
        <w:tc>
          <w:tcPr>
            <w:tcW w:w="2688"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16" w14:textId="77777777" w:rsidR="00E66558" w:rsidRPr="00D613F3" w:rsidRDefault="009D71E8">
            <w:pPr>
              <w:pStyle w:val="TableHeader"/>
              <w:jc w:val="left"/>
              <w:rPr>
                <w:color w:val="FFFFFF" w:themeColor="background1"/>
              </w:rPr>
            </w:pPr>
            <w:r w:rsidRPr="00D613F3">
              <w:rPr>
                <w:color w:val="FFFFFF" w:themeColor="background1"/>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17" w14:textId="77777777" w:rsidR="00E66558" w:rsidRPr="00D613F3" w:rsidRDefault="009D71E8">
            <w:pPr>
              <w:pStyle w:val="TableHeader"/>
              <w:jc w:val="left"/>
              <w:rPr>
                <w:color w:val="FFFFFF" w:themeColor="background1"/>
              </w:rPr>
            </w:pPr>
            <w:r w:rsidRPr="00D613F3">
              <w:rPr>
                <w:color w:val="FFFFFF" w:themeColor="background1"/>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18" w14:textId="77777777" w:rsidR="00E66558" w:rsidRPr="00D613F3" w:rsidRDefault="009D71E8">
            <w:pPr>
              <w:pStyle w:val="TableHeader"/>
              <w:jc w:val="left"/>
              <w:rPr>
                <w:color w:val="FFFFFF" w:themeColor="background1"/>
              </w:rPr>
            </w:pPr>
            <w:r w:rsidRPr="00D613F3">
              <w:rPr>
                <w:color w:val="FFFFFF" w:themeColor="background1"/>
              </w:rP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9F26" w14:textId="4691A506" w:rsidR="00E66558" w:rsidRPr="005D7081" w:rsidRDefault="005D7081" w:rsidP="00602EF0">
            <w:pPr>
              <w:pStyle w:val="TableRow"/>
            </w:pPr>
            <w:r w:rsidRPr="005D7081">
              <w:t>Speech and Language Team</w:t>
            </w:r>
          </w:p>
          <w:p w14:paraId="2A7D551A" w14:textId="5EA4FFB0" w:rsidR="005D7081" w:rsidRPr="005D7081" w:rsidRDefault="005D7081" w:rsidP="00602EF0">
            <w:pPr>
              <w:pStyle w:val="TableRow"/>
            </w:pPr>
            <w:r w:rsidRPr="005D7081">
              <w:t>Speech Therapist and Speech Teaching Assistant (TA)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EFB1" w14:textId="4F2ED658" w:rsidR="00E66558" w:rsidRDefault="00862854" w:rsidP="00862854">
            <w:pPr>
              <w:pStyle w:val="TableRowCentered"/>
              <w:ind w:left="0"/>
              <w:jc w:val="left"/>
              <w:rPr>
                <w:rFonts w:cs="Arial"/>
                <w:color w:val="auto"/>
                <w:szCs w:val="24"/>
              </w:rPr>
            </w:pPr>
            <w:r w:rsidRPr="00862854">
              <w:rPr>
                <w:rFonts w:cs="Arial"/>
                <w:color w:val="auto"/>
                <w:szCs w:val="24"/>
              </w:rPr>
              <w:t xml:space="preserve">On </w:t>
            </w:r>
            <w:r>
              <w:rPr>
                <w:rFonts w:cs="Arial"/>
                <w:color w:val="auto"/>
                <w:szCs w:val="24"/>
              </w:rPr>
              <w:t>average, oral language approaches have a high impact on pupil outcomes of 6 months additional progress (EEF)</w:t>
            </w:r>
          </w:p>
          <w:p w14:paraId="6746FFCD" w14:textId="77777777" w:rsidR="00862854" w:rsidRDefault="00862854" w:rsidP="00862854">
            <w:pPr>
              <w:pStyle w:val="TableRowCentered"/>
              <w:ind w:left="0"/>
              <w:jc w:val="left"/>
              <w:rPr>
                <w:rFonts w:cs="Arial"/>
                <w:color w:val="auto"/>
                <w:szCs w:val="24"/>
              </w:rPr>
            </w:pPr>
            <w:r>
              <w:rPr>
                <w:rFonts w:cs="Arial"/>
                <w:color w:val="auto"/>
                <w:szCs w:val="24"/>
              </w:rPr>
              <w:t>Training can support adults to ensure they model and develop pupils’ oral language skills and vocabulary development</w:t>
            </w:r>
          </w:p>
          <w:p w14:paraId="38F2522D" w14:textId="74153757" w:rsidR="00152A85" w:rsidRDefault="00152A85" w:rsidP="00862854">
            <w:pPr>
              <w:pStyle w:val="TableRowCentered"/>
              <w:ind w:left="0"/>
              <w:jc w:val="left"/>
              <w:rPr>
                <w:rFonts w:cs="Arial"/>
                <w:color w:val="auto"/>
                <w:szCs w:val="24"/>
              </w:rPr>
            </w:pPr>
            <w:r>
              <w:rPr>
                <w:szCs w:val="24"/>
              </w:rPr>
              <w:t>In the early years communication and language approaches typically have a very high impact and increase young children’s learning by 7 months (EEF)</w:t>
            </w:r>
          </w:p>
          <w:p w14:paraId="2A7D551B" w14:textId="6972DB52" w:rsidR="00152A85" w:rsidRPr="00862854" w:rsidRDefault="00152A85" w:rsidP="00862854">
            <w:pPr>
              <w:pStyle w:val="TableRowCentered"/>
              <w:ind w:left="0"/>
              <w:jc w:val="left"/>
              <w:rPr>
                <w:rFonts w:cs="Arial"/>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90377C6" w:rsidR="00E66558" w:rsidRPr="005D7081" w:rsidRDefault="00006298">
            <w:pPr>
              <w:pStyle w:val="TableRowCentered"/>
              <w:jc w:val="left"/>
              <w:rPr>
                <w:szCs w:val="24"/>
              </w:rPr>
            </w:pPr>
            <w:r>
              <w:rPr>
                <w:szCs w:val="24"/>
              </w:rPr>
              <w:t>3</w:t>
            </w:r>
          </w:p>
        </w:tc>
      </w:tr>
      <w:tr w:rsidR="00E95372" w14:paraId="2A7D5521" w14:textId="77777777" w:rsidTr="00F7098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5D203" w14:textId="77777777" w:rsidR="00E95372" w:rsidRPr="005D7081" w:rsidRDefault="00927600" w:rsidP="00E95372">
            <w:pPr>
              <w:pStyle w:val="TableRow"/>
              <w:rPr>
                <w:iCs/>
              </w:rPr>
            </w:pPr>
            <w:r w:rsidRPr="005D7081">
              <w:rPr>
                <w:iCs/>
              </w:rPr>
              <w:t>Reading Lead employed to monitor and support phonics teaching</w:t>
            </w:r>
          </w:p>
          <w:p w14:paraId="024AE767" w14:textId="77777777" w:rsidR="005E153D" w:rsidRPr="005D7081" w:rsidRDefault="005E153D" w:rsidP="00E95372">
            <w:pPr>
              <w:pStyle w:val="TableRow"/>
              <w:rPr>
                <w:i/>
              </w:rPr>
            </w:pPr>
          </w:p>
          <w:p w14:paraId="2A7D551E" w14:textId="01E67CB5" w:rsidR="005E153D" w:rsidRPr="005D7081" w:rsidRDefault="005E153D" w:rsidP="00E95372">
            <w:pPr>
              <w:pStyle w:val="TableRow"/>
              <w:rPr>
                <w:i/>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312422" w14:textId="77777777" w:rsidR="00E95372" w:rsidRPr="005D7081" w:rsidRDefault="00E95372" w:rsidP="00E95372">
            <w:pPr>
              <w:pStyle w:val="TableRowCentered"/>
              <w:jc w:val="left"/>
              <w:rPr>
                <w:rFonts w:cs="Arial"/>
                <w:color w:val="auto"/>
                <w:szCs w:val="24"/>
              </w:rPr>
            </w:pPr>
            <w:r w:rsidRPr="005D7081">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3982203F" w14:textId="376D31F4" w:rsidR="00E95372" w:rsidRPr="005D7081" w:rsidRDefault="00267F51" w:rsidP="00E95372">
            <w:pPr>
              <w:pStyle w:val="TableRowCentered"/>
              <w:jc w:val="left"/>
              <w:rPr>
                <w:color w:val="0070C0"/>
                <w:szCs w:val="24"/>
                <w:u w:val="single"/>
              </w:rPr>
            </w:pPr>
            <w:hyperlink r:id="rId7" w:history="1">
              <w:r w:rsidR="00E95372" w:rsidRPr="005D7081">
                <w:rPr>
                  <w:color w:val="0070C0"/>
                  <w:szCs w:val="24"/>
                  <w:u w:val="single"/>
                </w:rPr>
                <w:t>Phonics | Toolkit Strand | Education Endowment Foundation | EEF</w:t>
              </w:r>
            </w:hyperlink>
          </w:p>
          <w:p w14:paraId="73223AB3" w14:textId="5A41D20C" w:rsidR="00E301C0" w:rsidRPr="005D7081" w:rsidRDefault="00E301C0" w:rsidP="00E95372">
            <w:pPr>
              <w:pStyle w:val="TableRowCentered"/>
              <w:jc w:val="left"/>
              <w:rPr>
                <w:color w:val="0070C0"/>
                <w:szCs w:val="24"/>
                <w:u w:val="single"/>
              </w:rPr>
            </w:pPr>
            <w:r w:rsidRPr="005D7081">
              <w:rPr>
                <w:color w:val="0070C0"/>
                <w:szCs w:val="24"/>
                <w:u w:val="single"/>
              </w:rPr>
              <w:t>+5</w:t>
            </w:r>
          </w:p>
          <w:p w14:paraId="3807B284" w14:textId="77777777" w:rsidR="00E95372" w:rsidRPr="005D7081" w:rsidRDefault="00E95372" w:rsidP="00E95372">
            <w:pPr>
              <w:pStyle w:val="TableRowCentered"/>
              <w:jc w:val="left"/>
              <w:rPr>
                <w:color w:val="auto"/>
                <w:szCs w:val="24"/>
              </w:rPr>
            </w:pPr>
            <w:r w:rsidRPr="005D7081">
              <w:rPr>
                <w:color w:val="auto"/>
                <w:szCs w:val="24"/>
              </w:rPr>
              <w:t xml:space="preserve">Read Write Inc is used with fidelity across the school informed by secure termly assessments. </w:t>
            </w:r>
          </w:p>
          <w:p w14:paraId="2A7D551F" w14:textId="2F9844EB" w:rsidR="008B73A3" w:rsidRPr="005D7081" w:rsidRDefault="008B73A3" w:rsidP="00E95372">
            <w:pPr>
              <w:pStyle w:val="TableRowCentered"/>
              <w:jc w:val="left"/>
              <w:rPr>
                <w:szCs w:val="24"/>
              </w:rPr>
            </w:pPr>
            <w:r w:rsidRPr="005D7081">
              <w:rPr>
                <w:color w:val="auto"/>
                <w:szCs w:val="24"/>
              </w:rPr>
              <w:t>Whole school staff training for all staff in RWInc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3B5F0E0" w:rsidR="00E95372" w:rsidRPr="005D7081" w:rsidRDefault="005E153D" w:rsidP="004E29BA">
            <w:pPr>
              <w:pStyle w:val="TableRowCentered"/>
              <w:ind w:left="0"/>
              <w:jc w:val="left"/>
              <w:rPr>
                <w:szCs w:val="24"/>
              </w:rPr>
            </w:pPr>
            <w:r w:rsidRPr="005D7081">
              <w:rPr>
                <w:szCs w:val="24"/>
              </w:rPr>
              <w:t>2, 5 and 1</w:t>
            </w:r>
          </w:p>
        </w:tc>
      </w:tr>
      <w:tr w:rsidR="00006298" w14:paraId="09CE7A29" w14:textId="77777777" w:rsidTr="00F7098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9EFE1" w14:textId="0C8BC191" w:rsidR="00006298" w:rsidRPr="005D7081" w:rsidRDefault="00006298" w:rsidP="00E95372">
            <w:pPr>
              <w:pStyle w:val="TableRow"/>
              <w:rPr>
                <w:rFonts w:cs="Arial"/>
                <w:iCs/>
                <w:color w:val="auto"/>
              </w:rPr>
            </w:pPr>
            <w:r>
              <w:rPr>
                <w:rFonts w:cs="Arial"/>
                <w:iCs/>
                <w:color w:val="auto"/>
              </w:rPr>
              <w:t>Additional Educational Psychologist support for disadvantaged SEN pupils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4537E" w14:textId="77777777" w:rsidR="00006298" w:rsidRPr="005D7081" w:rsidRDefault="00006298" w:rsidP="00E95372">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F0ED" w14:textId="06E2960F" w:rsidR="00006298" w:rsidRPr="005D7081" w:rsidRDefault="00006298" w:rsidP="004E29BA">
            <w:pPr>
              <w:pStyle w:val="TableRowCentered"/>
              <w:ind w:left="0"/>
              <w:jc w:val="left"/>
              <w:rPr>
                <w:szCs w:val="24"/>
              </w:rPr>
            </w:pPr>
            <w:r>
              <w:rPr>
                <w:szCs w:val="24"/>
              </w:rPr>
              <w:t>3</w:t>
            </w:r>
            <w:r w:rsidR="00152A85">
              <w:rPr>
                <w:szCs w:val="24"/>
              </w:rPr>
              <w:t>,</w:t>
            </w:r>
            <w:r>
              <w:rPr>
                <w:szCs w:val="24"/>
              </w:rPr>
              <w:t xml:space="preserve"> 5</w:t>
            </w:r>
            <w:r w:rsidR="00152A85">
              <w:rPr>
                <w:szCs w:val="24"/>
              </w:rPr>
              <w:t xml:space="preserve"> and 6</w:t>
            </w:r>
          </w:p>
        </w:tc>
      </w:tr>
    </w:tbl>
    <w:p w14:paraId="7B524AD3" w14:textId="77777777" w:rsidR="00602EF0" w:rsidRDefault="00602EF0">
      <w:pPr>
        <w:rPr>
          <w:b/>
          <w:bCs/>
          <w:color w:val="104F75"/>
          <w:sz w:val="28"/>
          <w:szCs w:val="28"/>
        </w:rPr>
      </w:pPr>
    </w:p>
    <w:p w14:paraId="730F85F1" w14:textId="77777777" w:rsidR="00602EF0" w:rsidRDefault="00602EF0">
      <w:pPr>
        <w:rPr>
          <w:b/>
          <w:bCs/>
          <w:color w:val="104F75"/>
          <w:sz w:val="28"/>
          <w:szCs w:val="28"/>
        </w:rPr>
      </w:pPr>
    </w:p>
    <w:p w14:paraId="68AC5C5F" w14:textId="77777777" w:rsidR="005E2EDD" w:rsidRDefault="005E2EDD">
      <w:pPr>
        <w:rPr>
          <w:b/>
          <w:bCs/>
          <w:color w:val="104F75"/>
          <w:sz w:val="28"/>
          <w:szCs w:val="28"/>
        </w:rPr>
      </w:pPr>
    </w:p>
    <w:p w14:paraId="2A7D5523" w14:textId="50306BE6"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FDA229C" w:rsidR="00E66558" w:rsidRDefault="009D71E8">
      <w:r>
        <w:t xml:space="preserve">Budgeted cost: £ </w:t>
      </w:r>
      <w:r w:rsidR="006A05B3">
        <w:rPr>
          <w:b/>
          <w:bCs/>
        </w:rPr>
        <w:t>75</w:t>
      </w:r>
      <w:r w:rsidR="002E7183">
        <w:rPr>
          <w:b/>
          <w:bCs/>
        </w:rPr>
        <w:t>,720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D613F3">
        <w:tc>
          <w:tcPr>
            <w:tcW w:w="2688"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25" w14:textId="77777777" w:rsidR="00E66558" w:rsidRPr="00D613F3" w:rsidRDefault="009D71E8">
            <w:pPr>
              <w:pStyle w:val="TableHeader"/>
              <w:jc w:val="left"/>
              <w:rPr>
                <w:color w:val="FFFFFF" w:themeColor="background1"/>
              </w:rPr>
            </w:pPr>
            <w:r w:rsidRPr="00D613F3">
              <w:rPr>
                <w:color w:val="FFFFFF" w:themeColor="background1"/>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26" w14:textId="77777777" w:rsidR="00E66558" w:rsidRPr="00D613F3" w:rsidRDefault="009D71E8">
            <w:pPr>
              <w:pStyle w:val="TableHeader"/>
              <w:jc w:val="left"/>
              <w:rPr>
                <w:color w:val="FFFFFF" w:themeColor="background1"/>
              </w:rPr>
            </w:pPr>
            <w:r w:rsidRPr="00D613F3">
              <w:rPr>
                <w:color w:val="FFFFFF" w:themeColor="background1"/>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27" w14:textId="77777777" w:rsidR="00E66558" w:rsidRPr="00D613F3" w:rsidRDefault="009D71E8">
            <w:pPr>
              <w:pStyle w:val="TableHeader"/>
              <w:jc w:val="left"/>
              <w:rPr>
                <w:color w:val="FFFFFF" w:themeColor="background1"/>
              </w:rPr>
            </w:pPr>
            <w:r w:rsidRPr="00D613F3">
              <w:rPr>
                <w:color w:val="FFFFFF" w:themeColor="background1"/>
              </w:rP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AD5604A" w:rsidR="00E66558" w:rsidRPr="005E2EDD" w:rsidRDefault="00602EF0">
            <w:pPr>
              <w:pStyle w:val="TableRow"/>
            </w:pPr>
            <w:r w:rsidRPr="005E2EDD">
              <w:t>Quality of Teaching Monitoring release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74787B4" w:rsidR="00E66558" w:rsidRPr="005E2EDD" w:rsidRDefault="00602EF0">
            <w:pPr>
              <w:pStyle w:val="TableRowCentered"/>
              <w:jc w:val="left"/>
              <w:rPr>
                <w:szCs w:val="24"/>
              </w:rPr>
            </w:pPr>
            <w:r w:rsidRPr="005E2EDD">
              <w:rPr>
                <w:szCs w:val="24"/>
              </w:rPr>
              <w:t>S</w:t>
            </w:r>
            <w:r w:rsidR="008A4237" w:rsidRPr="005E2EDD">
              <w:rPr>
                <w:szCs w:val="24"/>
              </w:rPr>
              <w:t>taff provide high quality release time to enable teachers to work alongside subject leaders and SLT for monitoring quality of teaching and evidence teachers standards. HLTAs also teach booster groups and provide overlearning.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41AF581" w:rsidR="00E66558" w:rsidRPr="005E2EDD" w:rsidRDefault="005D7081">
            <w:pPr>
              <w:pStyle w:val="TableRowCentered"/>
              <w:jc w:val="left"/>
              <w:rPr>
                <w:szCs w:val="24"/>
              </w:rPr>
            </w:pPr>
            <w:r>
              <w:rPr>
                <w:szCs w:val="24"/>
              </w:rPr>
              <w:t>1</w:t>
            </w:r>
          </w:p>
        </w:tc>
      </w:tr>
      <w:tr w:rsidR="00A811E0" w14:paraId="582A1A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3081" w14:textId="74201B8A" w:rsidR="00A811E0" w:rsidRPr="005E2EDD" w:rsidRDefault="00C83459">
            <w:pPr>
              <w:pStyle w:val="TableRow"/>
            </w:pPr>
            <w:r w:rsidRPr="005E2EDD">
              <w:t>Tutoring Boosters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EA7B3" w14:textId="77777777" w:rsidR="00A811E0" w:rsidRDefault="000D7866">
            <w:pPr>
              <w:pStyle w:val="TableRowCentered"/>
              <w:jc w:val="left"/>
              <w:rPr>
                <w:szCs w:val="24"/>
              </w:rPr>
            </w:pPr>
            <w:r w:rsidRPr="005E2EDD">
              <w:rPr>
                <w:szCs w:val="24"/>
              </w:rPr>
              <w:t xml:space="preserve">Staff trained and released to </w:t>
            </w:r>
            <w:r w:rsidR="00C43C40" w:rsidRPr="005E2EDD">
              <w:rPr>
                <w:szCs w:val="24"/>
              </w:rPr>
              <w:t xml:space="preserve">deliver booster sessions to targeted pupils. Improved progress and outcomes. </w:t>
            </w:r>
            <w:r w:rsidR="00927600">
              <w:rPr>
                <w:szCs w:val="24"/>
              </w:rPr>
              <w:t xml:space="preserve">Although this funding has ceased the positive impact from previous years has embedded this practice.  </w:t>
            </w:r>
          </w:p>
          <w:p w14:paraId="4C4A84A0" w14:textId="06E79B95" w:rsidR="00C620A2" w:rsidRPr="005E2EDD" w:rsidRDefault="00C620A2">
            <w:pPr>
              <w:pStyle w:val="TableRowCentered"/>
              <w:jc w:val="left"/>
              <w:rPr>
                <w:szCs w:val="24"/>
              </w:rPr>
            </w:pPr>
            <w:r>
              <w:rPr>
                <w:szCs w:val="24"/>
              </w:rPr>
              <w:t>Small group tuition has an average impact of 4 months’ additional progress over the course of a year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EDE11" w14:textId="242F6DD2" w:rsidR="00A811E0" w:rsidRPr="005E2EDD" w:rsidRDefault="005D7081">
            <w:pPr>
              <w:pStyle w:val="TableRowCentered"/>
              <w:jc w:val="left"/>
              <w:rPr>
                <w:szCs w:val="24"/>
              </w:rPr>
            </w:pPr>
            <w:r>
              <w:rPr>
                <w:szCs w:val="24"/>
              </w:rPr>
              <w:t>1</w:t>
            </w:r>
            <w:r w:rsidR="00152A85">
              <w:rPr>
                <w:szCs w:val="24"/>
              </w:rPr>
              <w:t>,</w:t>
            </w:r>
            <w:r>
              <w:rPr>
                <w:szCs w:val="24"/>
              </w:rPr>
              <w:t xml:space="preserve"> 5</w:t>
            </w:r>
            <w:r w:rsidR="00152A85">
              <w:rPr>
                <w:szCs w:val="24"/>
              </w:rPr>
              <w:t xml:space="preserve"> and 6</w:t>
            </w:r>
          </w:p>
        </w:tc>
      </w:tr>
      <w:tr w:rsidR="002E7183" w:rsidRPr="005D7081" w14:paraId="1B0EFAA4" w14:textId="77777777" w:rsidTr="002E718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FE88" w14:textId="77777777" w:rsidR="002E7183" w:rsidRDefault="002E7183" w:rsidP="002A7819">
            <w:pPr>
              <w:pStyle w:val="TableRow"/>
            </w:pPr>
          </w:p>
          <w:p w14:paraId="29CAAE45" w14:textId="5568F86B" w:rsidR="002E7183" w:rsidRPr="002E7183" w:rsidRDefault="002E7183" w:rsidP="002A7819">
            <w:pPr>
              <w:pStyle w:val="TableRow"/>
            </w:pPr>
            <w:r w:rsidRPr="002E7183">
              <w:t>Reading Tutors support lowest 20% of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FE6ED" w14:textId="77777777" w:rsidR="002E7183" w:rsidRDefault="002E7183" w:rsidP="002A7819">
            <w:pPr>
              <w:pStyle w:val="TableRowCentered"/>
              <w:jc w:val="left"/>
              <w:rPr>
                <w:szCs w:val="24"/>
              </w:rPr>
            </w:pPr>
            <w:r w:rsidRPr="005D7081">
              <w:rPr>
                <w:szCs w:val="24"/>
              </w:rPr>
              <w:br/>
            </w:r>
            <w:r w:rsidRPr="002E7183">
              <w:rPr>
                <w:szCs w:val="24"/>
              </w:rPr>
              <w:t>Reading comprehension strategies are high impact on average (+6 months EEF). Alongside phonics it is a crucial component of early reading instruction.</w:t>
            </w:r>
          </w:p>
          <w:p w14:paraId="0D00CFCF" w14:textId="77777777" w:rsidR="002E7183" w:rsidRDefault="002E7183" w:rsidP="002A7819">
            <w:pPr>
              <w:pStyle w:val="TableRowCentered"/>
              <w:jc w:val="left"/>
              <w:rPr>
                <w:szCs w:val="24"/>
              </w:rPr>
            </w:pPr>
          </w:p>
          <w:p w14:paraId="36D99D01" w14:textId="77777777" w:rsidR="002E7183" w:rsidRDefault="002E7183" w:rsidP="002A7819">
            <w:pPr>
              <w:pStyle w:val="TableRowCentered"/>
              <w:jc w:val="left"/>
              <w:rPr>
                <w:szCs w:val="24"/>
              </w:rPr>
            </w:pPr>
          </w:p>
          <w:p w14:paraId="5F8C646E" w14:textId="7330EBF9" w:rsidR="002E7183" w:rsidRPr="002E7183" w:rsidRDefault="002E7183" w:rsidP="002A7819">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5C839" w14:textId="77777777" w:rsidR="002E7183" w:rsidRPr="005D7081" w:rsidRDefault="002E7183" w:rsidP="002E7183">
            <w:pPr>
              <w:pStyle w:val="TableRowCentered"/>
              <w:jc w:val="left"/>
              <w:rPr>
                <w:szCs w:val="24"/>
              </w:rPr>
            </w:pPr>
            <w:r w:rsidRPr="005D7081">
              <w:rPr>
                <w:szCs w:val="24"/>
              </w:rPr>
              <w:t>1,2</w:t>
            </w:r>
            <w:r>
              <w:rPr>
                <w:szCs w:val="24"/>
              </w:rPr>
              <w:t>, 5 and 6</w:t>
            </w:r>
          </w:p>
        </w:tc>
      </w:tr>
    </w:tbl>
    <w:p w14:paraId="2A7D5531" w14:textId="77777777" w:rsidR="00E66558" w:rsidRDefault="00E66558">
      <w:pPr>
        <w:spacing w:after="0"/>
        <w:rPr>
          <w:b/>
          <w:color w:val="104F75"/>
          <w:sz w:val="28"/>
          <w:szCs w:val="28"/>
        </w:rPr>
      </w:pPr>
    </w:p>
    <w:p w14:paraId="3464D70A" w14:textId="77777777" w:rsidR="005E2EDD" w:rsidRDefault="005E2EDD">
      <w:pPr>
        <w:rPr>
          <w:b/>
          <w:color w:val="104F75"/>
          <w:sz w:val="28"/>
          <w:szCs w:val="28"/>
        </w:rPr>
      </w:pPr>
    </w:p>
    <w:p w14:paraId="09707805" w14:textId="77777777" w:rsidR="005E2EDD" w:rsidRDefault="005E2EDD">
      <w:pPr>
        <w:rPr>
          <w:b/>
          <w:color w:val="104F75"/>
          <w:sz w:val="28"/>
          <w:szCs w:val="28"/>
        </w:rPr>
      </w:pPr>
    </w:p>
    <w:p w14:paraId="0A30A6E3" w14:textId="77777777" w:rsidR="005E2EDD" w:rsidRDefault="005E2EDD">
      <w:pPr>
        <w:rPr>
          <w:b/>
          <w:color w:val="104F75"/>
          <w:sz w:val="28"/>
          <w:szCs w:val="28"/>
        </w:rPr>
      </w:pPr>
    </w:p>
    <w:p w14:paraId="0966C647" w14:textId="77777777" w:rsidR="005E2EDD" w:rsidRDefault="005E2EDD">
      <w:pPr>
        <w:rPr>
          <w:b/>
          <w:color w:val="104F75"/>
          <w:sz w:val="28"/>
          <w:szCs w:val="28"/>
        </w:rPr>
      </w:pPr>
    </w:p>
    <w:p w14:paraId="595A6E92" w14:textId="34077A70" w:rsidR="005E2EDD" w:rsidRDefault="005E2EDD">
      <w:pPr>
        <w:rPr>
          <w:b/>
          <w:color w:val="104F75"/>
          <w:sz w:val="28"/>
          <w:szCs w:val="28"/>
        </w:rPr>
      </w:pPr>
    </w:p>
    <w:p w14:paraId="1DF0F4C1" w14:textId="3FEA5054" w:rsidR="005D7081" w:rsidRDefault="005D7081">
      <w:pPr>
        <w:rPr>
          <w:b/>
          <w:color w:val="104F75"/>
          <w:sz w:val="28"/>
          <w:szCs w:val="28"/>
        </w:rPr>
      </w:pPr>
    </w:p>
    <w:p w14:paraId="1B18738B" w14:textId="14156AD9" w:rsidR="005D7081" w:rsidRDefault="005D7081">
      <w:pPr>
        <w:rPr>
          <w:b/>
          <w:color w:val="104F75"/>
          <w:sz w:val="28"/>
          <w:szCs w:val="28"/>
        </w:rPr>
      </w:pPr>
    </w:p>
    <w:p w14:paraId="14B0C806" w14:textId="77777777" w:rsidR="005D7081" w:rsidRDefault="005D7081">
      <w:pPr>
        <w:rPr>
          <w:b/>
          <w:color w:val="104F75"/>
          <w:sz w:val="28"/>
          <w:szCs w:val="28"/>
        </w:rPr>
      </w:pPr>
    </w:p>
    <w:p w14:paraId="2A7D5532" w14:textId="64B6F178" w:rsidR="00E66558" w:rsidRDefault="009D71E8">
      <w:pPr>
        <w:rPr>
          <w:b/>
          <w:color w:val="104F75"/>
          <w:sz w:val="28"/>
          <w:szCs w:val="28"/>
        </w:rPr>
      </w:pPr>
      <w:r>
        <w:rPr>
          <w:b/>
          <w:color w:val="104F75"/>
          <w:sz w:val="28"/>
          <w:szCs w:val="28"/>
        </w:rPr>
        <w:t>Wider strategies (for example, related to attendance, behaviour, wellbeing)</w:t>
      </w:r>
    </w:p>
    <w:p w14:paraId="2A7D5533" w14:textId="03469D4E" w:rsidR="00E66558" w:rsidRDefault="009D71E8">
      <w:pPr>
        <w:spacing w:before="240" w:after="120"/>
      </w:pPr>
      <w:r>
        <w:t xml:space="preserve">Budgeted cost: </w:t>
      </w:r>
      <w:r w:rsidR="005E2EDD">
        <w:t>£</w:t>
      </w:r>
      <w:r w:rsidR="00033FCE">
        <w:t xml:space="preserve"> </w:t>
      </w:r>
      <w:r w:rsidR="00AF1D33">
        <w:rPr>
          <w:b/>
          <w:bCs/>
        </w:rPr>
        <w:t>70,985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D613F3">
        <w:tc>
          <w:tcPr>
            <w:tcW w:w="2688"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34" w14:textId="77777777" w:rsidR="00E66558" w:rsidRPr="00D613F3" w:rsidRDefault="009D71E8">
            <w:pPr>
              <w:pStyle w:val="TableHeader"/>
              <w:jc w:val="left"/>
              <w:rPr>
                <w:color w:val="FFFFFF" w:themeColor="background1"/>
              </w:rPr>
            </w:pPr>
            <w:r w:rsidRPr="00D613F3">
              <w:rPr>
                <w:color w:val="FFFFFF" w:themeColor="background1"/>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35" w14:textId="77777777" w:rsidR="00E66558" w:rsidRPr="00D613F3" w:rsidRDefault="009D71E8">
            <w:pPr>
              <w:pStyle w:val="TableHeader"/>
              <w:jc w:val="left"/>
              <w:rPr>
                <w:color w:val="FFFFFF" w:themeColor="background1"/>
              </w:rPr>
            </w:pPr>
            <w:r w:rsidRPr="00D613F3">
              <w:rPr>
                <w:color w:val="FFFFFF" w:themeColor="background1"/>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36" w14:textId="77777777" w:rsidR="00E66558" w:rsidRPr="00D613F3" w:rsidRDefault="009D71E8">
            <w:pPr>
              <w:pStyle w:val="TableHeader"/>
              <w:jc w:val="left"/>
              <w:rPr>
                <w:color w:val="FFFFFF" w:themeColor="background1"/>
              </w:rPr>
            </w:pPr>
            <w:r w:rsidRPr="00D613F3">
              <w:rPr>
                <w:color w:val="FFFFFF" w:themeColor="background1"/>
              </w:rPr>
              <w:t>Challenge number(s) addressed</w:t>
            </w:r>
          </w:p>
        </w:tc>
      </w:tr>
      <w:tr w:rsidR="005E2EDD" w:rsidRPr="0050346A" w14:paraId="6870D857" w14:textId="77777777" w:rsidTr="00C219C1">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70C2F7" w14:textId="5E6796BF" w:rsidR="005E2EDD" w:rsidRPr="00152A85" w:rsidRDefault="005D7081" w:rsidP="00C219C1">
            <w:pPr>
              <w:pStyle w:val="TableHeader"/>
              <w:jc w:val="left"/>
              <w:rPr>
                <w:b w:val="0"/>
              </w:rPr>
            </w:pPr>
            <w:r w:rsidRPr="00152A85">
              <w:rPr>
                <w:b w:val="0"/>
              </w:rPr>
              <w:t xml:space="preserve"> </w:t>
            </w:r>
            <w:r w:rsidR="00AF1D33">
              <w:rPr>
                <w:b w:val="0"/>
              </w:rPr>
              <w:t>A</w:t>
            </w:r>
            <w:r w:rsidRPr="00152A85">
              <w:rPr>
                <w:b w:val="0"/>
              </w:rPr>
              <w:t>ttendance office</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B76B9A" w14:textId="77777777" w:rsidR="00C620A2" w:rsidRPr="00C620A2" w:rsidRDefault="00C620A2" w:rsidP="00C620A2">
            <w:pPr>
              <w:numPr>
                <w:ilvl w:val="0"/>
                <w:numId w:val="1"/>
              </w:numPr>
              <w:shd w:val="clear" w:color="auto" w:fill="FFFFFF"/>
              <w:suppressAutoHyphens w:val="0"/>
              <w:autoSpaceDN/>
              <w:spacing w:after="300" w:line="240" w:lineRule="auto"/>
              <w:rPr>
                <w:rFonts w:cs="Arial"/>
                <w:color w:val="0B0C0C"/>
              </w:rPr>
            </w:pPr>
            <w:r w:rsidRPr="00C620A2">
              <w:rPr>
                <w:rFonts w:cs="Arial"/>
                <w:color w:val="0B0C0C"/>
              </w:rPr>
              <w:t>Attendance at school is crucial to prepare young people for successful transition to adulthood, and to support their longer term economic and social participation in society. There is also </w:t>
            </w:r>
            <w:hyperlink r:id="rId8" w:history="1">
              <w:r w:rsidRPr="00C620A2">
                <w:rPr>
                  <w:rFonts w:cs="Arial"/>
                  <w:color w:val="1D70B8"/>
                  <w:u w:val="single"/>
                </w:rPr>
                <w:t>evidence</w:t>
              </w:r>
            </w:hyperlink>
            <w:r w:rsidRPr="00C620A2">
              <w:rPr>
                <w:rFonts w:cs="Arial"/>
                <w:color w:val="0B0C0C"/>
              </w:rPr>
              <w:t> that the students with the highest attendance throughout their time in school gain the best GCSE and A level results. </w:t>
            </w:r>
          </w:p>
          <w:p w14:paraId="21A7A899" w14:textId="77777777" w:rsidR="00C620A2" w:rsidRPr="00C620A2" w:rsidRDefault="00C620A2" w:rsidP="00C620A2">
            <w:pPr>
              <w:numPr>
                <w:ilvl w:val="0"/>
                <w:numId w:val="1"/>
              </w:numPr>
              <w:shd w:val="clear" w:color="auto" w:fill="FFFFFF"/>
              <w:suppressAutoHyphens w:val="0"/>
              <w:autoSpaceDN/>
              <w:spacing w:after="300" w:line="240" w:lineRule="auto"/>
              <w:rPr>
                <w:rFonts w:cs="Arial"/>
                <w:color w:val="0B0C0C"/>
              </w:rPr>
            </w:pPr>
            <w:r w:rsidRPr="00C620A2">
              <w:rPr>
                <w:rFonts w:cs="Arial"/>
                <w:color w:val="0B0C0C"/>
              </w:rPr>
              <w:t>Our research found that pupils who performed better both at the end of primary and </w:t>
            </w:r>
            <w:hyperlink r:id="rId9" w:history="1">
              <w:r w:rsidRPr="00C620A2">
                <w:rPr>
                  <w:rFonts w:cs="Arial"/>
                  <w:color w:val="1D70B8"/>
                  <w:u w:val="single"/>
                </w:rPr>
                <w:t>secondary school</w:t>
              </w:r>
            </w:hyperlink>
            <w:r w:rsidRPr="00C620A2">
              <w:rPr>
                <w:rFonts w:cs="Arial"/>
                <w:color w:val="0B0C0C"/>
              </w:rPr>
              <w:t> missed fewer days than those who didn’t perform as well. </w:t>
            </w:r>
          </w:p>
          <w:p w14:paraId="3F231FDC" w14:textId="483C76FF" w:rsidR="005E2EDD" w:rsidRPr="00152A85" w:rsidRDefault="005E2EDD" w:rsidP="00C219C1">
            <w:pPr>
              <w:pStyle w:val="TableHeader"/>
              <w:jc w:val="left"/>
              <w:rPr>
                <w:b w:val="0"/>
              </w:rPr>
            </w:pP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8A0F11" w14:textId="778A834B" w:rsidR="005E2EDD" w:rsidRPr="00152A85" w:rsidRDefault="00862854" w:rsidP="00C219C1">
            <w:pPr>
              <w:pStyle w:val="TableHeader"/>
              <w:jc w:val="left"/>
              <w:rPr>
                <w:b w:val="0"/>
              </w:rPr>
            </w:pPr>
            <w:r w:rsidRPr="00152A85">
              <w:rPr>
                <w:b w:val="0"/>
              </w:rPr>
              <w:t>4 and 5</w:t>
            </w:r>
          </w:p>
        </w:tc>
      </w:tr>
      <w:tr w:rsidR="006A05B3" w:rsidRPr="0050346A" w14:paraId="5A8835E9" w14:textId="77777777" w:rsidTr="00FD4431">
        <w:trPr>
          <w:trHeight w:val="1500"/>
        </w:trPr>
        <w:tc>
          <w:tcPr>
            <w:tcW w:w="2688"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2E35A950" w14:textId="77777777" w:rsidR="006A05B3" w:rsidRPr="00152A85" w:rsidRDefault="006A05B3" w:rsidP="00C219C1">
            <w:pPr>
              <w:pStyle w:val="TableHeader"/>
              <w:jc w:val="left"/>
              <w:rPr>
                <w:b w:val="0"/>
              </w:rPr>
            </w:pPr>
            <w:r>
              <w:rPr>
                <w:b w:val="0"/>
              </w:rPr>
              <w:t xml:space="preserve">Child Counselling and </w:t>
            </w:r>
          </w:p>
          <w:p w14:paraId="3F64F157" w14:textId="5BAD3C93" w:rsidR="006A05B3" w:rsidRPr="00152A85" w:rsidRDefault="006A05B3" w:rsidP="00C219C1">
            <w:pPr>
              <w:pStyle w:val="TableHeader"/>
              <w:jc w:val="left"/>
              <w:rPr>
                <w:b w:val="0"/>
              </w:rPr>
            </w:pPr>
            <w:r w:rsidRPr="00152A85">
              <w:rPr>
                <w:b w:val="0"/>
              </w:rPr>
              <w:t xml:space="preserve">Welfare </w:t>
            </w:r>
            <w:r>
              <w:rPr>
                <w:b w:val="0"/>
              </w:rPr>
              <w:t>S</w:t>
            </w:r>
            <w:r w:rsidRPr="00152A85">
              <w:rPr>
                <w:b w:val="0"/>
              </w:rPr>
              <w:t xml:space="preserve">upport </w:t>
            </w:r>
            <w:r>
              <w:rPr>
                <w:b w:val="0"/>
              </w:rPr>
              <w:t>A</w:t>
            </w:r>
            <w:r w:rsidRPr="00152A85">
              <w:rPr>
                <w:b w:val="0"/>
              </w:rPr>
              <w:t>ssistant</w:t>
            </w:r>
          </w:p>
        </w:tc>
        <w:tc>
          <w:tcPr>
            <w:tcW w:w="4254"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1E8B6F66" w14:textId="02793CF4" w:rsidR="006A05B3" w:rsidRPr="00C620A2" w:rsidRDefault="006A05B3" w:rsidP="00C620A2">
            <w:pPr>
              <w:pStyle w:val="TableRowCentered"/>
              <w:ind w:left="0"/>
              <w:jc w:val="left"/>
              <w:rPr>
                <w:rFonts w:cs="Arial"/>
                <w:color w:val="0B0C0C"/>
              </w:rPr>
            </w:pPr>
            <w:r>
              <w:rPr>
                <w:rFonts w:cs="Arial"/>
                <w:color w:val="auto"/>
                <w:szCs w:val="24"/>
              </w:rPr>
              <w:t>Social and emotional learning approaches have a positive impact on average of 4 months’ additional progress in academic outcomes over the course of an academic year.</w:t>
            </w:r>
          </w:p>
        </w:tc>
        <w:tc>
          <w:tcPr>
            <w:tcW w:w="2544"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3128FD77" w14:textId="77777777" w:rsidR="006A05B3" w:rsidRPr="00152A85" w:rsidRDefault="006A05B3" w:rsidP="00C219C1">
            <w:pPr>
              <w:pStyle w:val="TableHeader"/>
              <w:jc w:val="left"/>
              <w:rPr>
                <w:b w:val="0"/>
              </w:rPr>
            </w:pPr>
            <w:r>
              <w:rPr>
                <w:b w:val="0"/>
              </w:rPr>
              <w:t>6</w:t>
            </w:r>
          </w:p>
          <w:p w14:paraId="15343806" w14:textId="77777777" w:rsidR="006A05B3" w:rsidRDefault="006A05B3" w:rsidP="00C219C1">
            <w:pPr>
              <w:pStyle w:val="TableHeader"/>
              <w:jc w:val="left"/>
              <w:rPr>
                <w:b w:val="0"/>
              </w:rPr>
            </w:pPr>
          </w:p>
          <w:p w14:paraId="6F750814" w14:textId="77777777" w:rsidR="006A05B3" w:rsidRDefault="006A05B3" w:rsidP="00C219C1">
            <w:pPr>
              <w:pStyle w:val="TableHeader"/>
              <w:jc w:val="left"/>
              <w:rPr>
                <w:b w:val="0"/>
              </w:rPr>
            </w:pPr>
          </w:p>
          <w:p w14:paraId="3176F9A3" w14:textId="77777777" w:rsidR="006A05B3" w:rsidRDefault="006A05B3" w:rsidP="00C219C1">
            <w:pPr>
              <w:pStyle w:val="TableHeader"/>
              <w:jc w:val="left"/>
              <w:rPr>
                <w:b w:val="0"/>
              </w:rPr>
            </w:pPr>
          </w:p>
          <w:p w14:paraId="663D58E5" w14:textId="77C3E6B7" w:rsidR="006A05B3" w:rsidRPr="00152A85" w:rsidRDefault="006A05B3" w:rsidP="00C219C1">
            <w:pPr>
              <w:pStyle w:val="TableHeader"/>
              <w:jc w:val="left"/>
              <w:rPr>
                <w:b w:val="0"/>
              </w:rPr>
            </w:pPr>
          </w:p>
        </w:tc>
      </w:tr>
      <w:tr w:rsidR="005E2EDD" w:rsidRPr="0050346A" w14:paraId="1E11A3E1" w14:textId="77777777" w:rsidTr="00C219C1">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28DD41" w14:textId="1204214D" w:rsidR="005E2EDD" w:rsidRPr="00152A85" w:rsidRDefault="005D7081" w:rsidP="00C219C1">
            <w:pPr>
              <w:pStyle w:val="TableHeader"/>
              <w:jc w:val="left"/>
              <w:rPr>
                <w:b w:val="0"/>
              </w:rPr>
            </w:pPr>
            <w:r w:rsidRPr="00152A85">
              <w:rPr>
                <w:b w:val="0"/>
              </w:rPr>
              <w:t>Nurture provision (Seagulls)</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BCCA93" w14:textId="767F704D" w:rsidR="005E2EDD" w:rsidRPr="00152A85" w:rsidRDefault="00862854" w:rsidP="005E2EDD">
            <w:pPr>
              <w:pStyle w:val="TableHeader"/>
              <w:jc w:val="left"/>
              <w:rPr>
                <w:b w:val="0"/>
              </w:rPr>
            </w:pPr>
            <w:r w:rsidRPr="00152A85">
              <w:rPr>
                <w:b w:val="0"/>
              </w:rPr>
              <w:t>Early nurture provision is targeted to support individual learners and enable them to work well and self</w:t>
            </w:r>
            <w:r w:rsidR="00152A85">
              <w:rPr>
                <w:b w:val="0"/>
              </w:rPr>
              <w:t>-</w:t>
            </w:r>
            <w:r w:rsidRPr="00152A85">
              <w:rPr>
                <w:b w:val="0"/>
              </w:rPr>
              <w:t>manage their behaviour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B43993" w14:textId="2B760A1D" w:rsidR="005E2EDD" w:rsidRPr="00152A85" w:rsidRDefault="00152A85" w:rsidP="00C219C1">
            <w:pPr>
              <w:pStyle w:val="TableHeader"/>
              <w:jc w:val="left"/>
              <w:rPr>
                <w:b w:val="0"/>
              </w:rPr>
            </w:pPr>
            <w:r w:rsidRPr="00152A85">
              <w:rPr>
                <w:b w:val="0"/>
              </w:rPr>
              <w:t>6,</w:t>
            </w:r>
            <w:r w:rsidR="00862854" w:rsidRPr="00152A85">
              <w:rPr>
                <w:b w:val="0"/>
              </w:rPr>
              <w:t xml:space="preserve">3 and 1 </w:t>
            </w:r>
          </w:p>
        </w:tc>
      </w:tr>
      <w:tr w:rsidR="00786CB8" w14:paraId="12DD193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ABE1" w14:textId="7CA9264A" w:rsidR="005E2EDD" w:rsidRPr="00152A85" w:rsidRDefault="003F20A6" w:rsidP="00927600">
            <w:pPr>
              <w:pStyle w:val="TableRow"/>
            </w:pPr>
            <w:r w:rsidRPr="00152A85">
              <w:t xml:space="preserve">Music enrichment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74EF" w14:textId="77777777" w:rsidR="00786CB8" w:rsidRPr="00152A85" w:rsidRDefault="00862854">
            <w:pPr>
              <w:pStyle w:val="TableRowCentered"/>
              <w:jc w:val="left"/>
              <w:rPr>
                <w:szCs w:val="24"/>
              </w:rPr>
            </w:pPr>
            <w:r w:rsidRPr="00152A85">
              <w:rPr>
                <w:szCs w:val="24"/>
              </w:rPr>
              <w:t>Arts participation approaches can have a positive impact on academic outcomes in other areas of the curriculum (+3 months EEF)</w:t>
            </w:r>
          </w:p>
          <w:p w14:paraId="5D9B966D" w14:textId="09D7300F" w:rsidR="00862854" w:rsidRPr="00152A85" w:rsidRDefault="00862854">
            <w:pPr>
              <w:pStyle w:val="TableRowCentered"/>
              <w:jc w:val="left"/>
              <w:rPr>
                <w:szCs w:val="24"/>
              </w:rPr>
            </w:pPr>
            <w:r w:rsidRPr="00152A85">
              <w:rPr>
                <w:szCs w:val="24"/>
              </w:rPr>
              <w:lastRenderedPageBreak/>
              <w:t>It is also linked strongly to attendance and the wider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BC93" w14:textId="06C3A4E1" w:rsidR="00786CB8" w:rsidRPr="00152A85" w:rsidRDefault="00152A85">
            <w:pPr>
              <w:pStyle w:val="TableRowCentered"/>
              <w:jc w:val="left"/>
              <w:rPr>
                <w:szCs w:val="24"/>
              </w:rPr>
            </w:pPr>
            <w:r w:rsidRPr="00152A85">
              <w:rPr>
                <w:szCs w:val="24"/>
              </w:rPr>
              <w:lastRenderedPageBreak/>
              <w:t>4 and 6</w:t>
            </w:r>
          </w:p>
        </w:tc>
      </w:tr>
    </w:tbl>
    <w:p w14:paraId="2A7D5540" w14:textId="77777777" w:rsidR="00E66558" w:rsidRDefault="00E66558">
      <w:pPr>
        <w:spacing w:before="240" w:after="0"/>
        <w:rPr>
          <w:b/>
          <w:bCs/>
          <w:color w:val="104F75"/>
          <w:sz w:val="28"/>
          <w:szCs w:val="28"/>
        </w:rPr>
      </w:pPr>
    </w:p>
    <w:p w14:paraId="2A7D5541" w14:textId="6AE2C0B5" w:rsidR="00E66558" w:rsidRDefault="009D71E8" w:rsidP="00120AB1">
      <w:r>
        <w:rPr>
          <w:b/>
          <w:bCs/>
          <w:color w:val="104F75"/>
          <w:sz w:val="28"/>
          <w:szCs w:val="28"/>
        </w:rPr>
        <w:t xml:space="preserve">Total budgeted cost: £ </w:t>
      </w:r>
      <w:r w:rsidR="00183B14">
        <w:rPr>
          <w:b/>
          <w:bCs/>
          <w:color w:val="104F75"/>
          <w:sz w:val="28"/>
          <w:szCs w:val="28"/>
        </w:rPr>
        <w:t>269,555</w:t>
      </w:r>
    </w:p>
    <w:p w14:paraId="2A7D5543" w14:textId="3FF7F2E0" w:rsidR="00E66558" w:rsidRDefault="009D71E8" w:rsidP="007772D6">
      <w:pPr>
        <w:pStyle w:val="Heading1"/>
      </w:pPr>
      <w:r>
        <w:lastRenderedPageBreak/>
        <w:t xml:space="preserve">Part B: Review of outcomes in the previous academic </w:t>
      </w:r>
      <w:proofErr w:type="gramStart"/>
      <w:r>
        <w:t>year</w:t>
      </w:r>
      <w:r w:rsidR="007772D6">
        <w:t xml:space="preserve"> :</w:t>
      </w:r>
      <w:proofErr w:type="gramEnd"/>
      <w:r w:rsidR="007772D6">
        <w:t xml:space="preserve">   </w:t>
      </w:r>
      <w:r>
        <w:t>Pupil premium strategy outcomes</w:t>
      </w:r>
      <w:r w:rsidR="007772D6">
        <w:t xml:space="preserve"> 2</w:t>
      </w:r>
      <w:r w:rsidR="002F70CE">
        <w:t>4</w:t>
      </w:r>
      <w:r w:rsidR="007772D6">
        <w:t>/2</w:t>
      </w:r>
      <w:r w:rsidR="002F70CE">
        <w:t>5</w:t>
      </w:r>
    </w:p>
    <w:p w14:paraId="050B2852" w14:textId="77777777" w:rsidR="002F70CE" w:rsidRPr="002F70CE" w:rsidRDefault="002F70CE" w:rsidP="002F70CE">
      <w:pPr>
        <w:suppressAutoHyphens w:val="0"/>
        <w:autoSpaceDN/>
        <w:spacing w:after="160" w:line="259" w:lineRule="auto"/>
        <w:rPr>
          <w:rFonts w:ascii="Calibri" w:eastAsia="Calibri" w:hAnsi="Calibri"/>
          <w:b/>
          <w:bCs/>
          <w:color w:val="auto"/>
          <w:sz w:val="32"/>
          <w:szCs w:val="32"/>
          <w:u w:val="single"/>
          <w:lang w:eastAsia="en-US"/>
        </w:rPr>
      </w:pPr>
    </w:p>
    <w:tbl>
      <w:tblPr>
        <w:tblStyle w:val="TableGrid"/>
        <w:tblW w:w="0" w:type="auto"/>
        <w:tblLook w:val="04A0" w:firstRow="1" w:lastRow="0" w:firstColumn="1" w:lastColumn="0" w:noHBand="0" w:noVBand="1"/>
      </w:tblPr>
      <w:tblGrid>
        <w:gridCol w:w="1803"/>
        <w:gridCol w:w="1803"/>
        <w:gridCol w:w="1803"/>
        <w:gridCol w:w="1803"/>
        <w:gridCol w:w="1804"/>
      </w:tblGrid>
      <w:tr w:rsidR="002F70CE" w:rsidRPr="002F70CE" w14:paraId="47E92ADC" w14:textId="77777777" w:rsidTr="002A7819">
        <w:tc>
          <w:tcPr>
            <w:tcW w:w="1803" w:type="dxa"/>
          </w:tcPr>
          <w:p w14:paraId="181682F2"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Early Years</w:t>
            </w:r>
          </w:p>
        </w:tc>
        <w:tc>
          <w:tcPr>
            <w:tcW w:w="1803" w:type="dxa"/>
            <w:shd w:val="clear" w:color="auto" w:fill="0070C0"/>
          </w:tcPr>
          <w:p w14:paraId="32AA3763" w14:textId="77777777" w:rsidR="002F70CE" w:rsidRPr="002F70CE" w:rsidRDefault="002F70CE" w:rsidP="002F70CE">
            <w:pPr>
              <w:suppressAutoHyphens w:val="0"/>
              <w:spacing w:after="0" w:line="240" w:lineRule="auto"/>
              <w:rPr>
                <w:b/>
                <w:bCs/>
                <w:color w:val="FFFFFF"/>
                <w:sz w:val="32"/>
                <w:szCs w:val="32"/>
              </w:rPr>
            </w:pPr>
            <w:r w:rsidRPr="002F70CE">
              <w:rPr>
                <w:b/>
                <w:bCs/>
                <w:color w:val="FFFFFF"/>
                <w:sz w:val="32"/>
                <w:szCs w:val="32"/>
              </w:rPr>
              <w:t>Sandown ALL</w:t>
            </w:r>
          </w:p>
        </w:tc>
        <w:tc>
          <w:tcPr>
            <w:tcW w:w="1803" w:type="dxa"/>
            <w:shd w:val="clear" w:color="auto" w:fill="0070C0"/>
          </w:tcPr>
          <w:p w14:paraId="471B90A7" w14:textId="77777777" w:rsidR="002F70CE" w:rsidRPr="002F70CE" w:rsidRDefault="002F70CE" w:rsidP="002F70CE">
            <w:pPr>
              <w:suppressAutoHyphens w:val="0"/>
              <w:spacing w:after="0" w:line="240" w:lineRule="auto"/>
              <w:rPr>
                <w:b/>
                <w:bCs/>
                <w:color w:val="FFFFFF"/>
                <w:sz w:val="32"/>
                <w:szCs w:val="32"/>
              </w:rPr>
            </w:pPr>
            <w:r w:rsidRPr="002F70CE">
              <w:rPr>
                <w:b/>
                <w:bCs/>
                <w:color w:val="FFFFFF"/>
                <w:sz w:val="32"/>
                <w:szCs w:val="32"/>
              </w:rPr>
              <w:t>Sandown Pupil Premium</w:t>
            </w:r>
          </w:p>
        </w:tc>
        <w:tc>
          <w:tcPr>
            <w:tcW w:w="1803" w:type="dxa"/>
            <w:shd w:val="clear" w:color="auto" w:fill="0070C0"/>
          </w:tcPr>
          <w:p w14:paraId="07893FA5" w14:textId="77777777" w:rsidR="002F70CE" w:rsidRPr="002F70CE" w:rsidRDefault="002F70CE" w:rsidP="002F70CE">
            <w:pPr>
              <w:suppressAutoHyphens w:val="0"/>
              <w:spacing w:after="0" w:line="240" w:lineRule="auto"/>
              <w:rPr>
                <w:b/>
                <w:bCs/>
                <w:color w:val="FFFFFF"/>
                <w:sz w:val="32"/>
                <w:szCs w:val="32"/>
              </w:rPr>
            </w:pPr>
            <w:r w:rsidRPr="002F70CE">
              <w:rPr>
                <w:b/>
                <w:bCs/>
                <w:color w:val="FFFFFF"/>
                <w:sz w:val="32"/>
                <w:szCs w:val="32"/>
              </w:rPr>
              <w:t>National ALL</w:t>
            </w:r>
          </w:p>
        </w:tc>
        <w:tc>
          <w:tcPr>
            <w:tcW w:w="1804" w:type="dxa"/>
            <w:shd w:val="clear" w:color="auto" w:fill="0070C0"/>
          </w:tcPr>
          <w:p w14:paraId="375B62C7" w14:textId="77777777" w:rsidR="002F70CE" w:rsidRPr="002F70CE" w:rsidRDefault="002F70CE" w:rsidP="002F70CE">
            <w:pPr>
              <w:suppressAutoHyphens w:val="0"/>
              <w:spacing w:after="0" w:line="240" w:lineRule="auto"/>
              <w:rPr>
                <w:b/>
                <w:bCs/>
                <w:color w:val="FFFFFF"/>
                <w:sz w:val="32"/>
                <w:szCs w:val="32"/>
              </w:rPr>
            </w:pPr>
            <w:r w:rsidRPr="002F70CE">
              <w:rPr>
                <w:b/>
                <w:bCs/>
                <w:color w:val="FFFFFF"/>
                <w:sz w:val="32"/>
                <w:szCs w:val="32"/>
              </w:rPr>
              <w:t>National Pupil premium</w:t>
            </w:r>
          </w:p>
        </w:tc>
      </w:tr>
      <w:tr w:rsidR="002F70CE" w:rsidRPr="002F70CE" w14:paraId="40BF4958" w14:textId="77777777" w:rsidTr="002A7819">
        <w:tc>
          <w:tcPr>
            <w:tcW w:w="1803" w:type="dxa"/>
          </w:tcPr>
          <w:p w14:paraId="571E0719"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Met GLD in all areas</w:t>
            </w:r>
          </w:p>
        </w:tc>
        <w:tc>
          <w:tcPr>
            <w:tcW w:w="1803" w:type="dxa"/>
          </w:tcPr>
          <w:p w14:paraId="3603275E"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61.7%</w:t>
            </w:r>
          </w:p>
        </w:tc>
        <w:tc>
          <w:tcPr>
            <w:tcW w:w="1803" w:type="dxa"/>
          </w:tcPr>
          <w:p w14:paraId="320A2075"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46.7%</w:t>
            </w:r>
          </w:p>
        </w:tc>
        <w:tc>
          <w:tcPr>
            <w:tcW w:w="1803" w:type="dxa"/>
          </w:tcPr>
          <w:p w14:paraId="498C0424"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68.3%</w:t>
            </w:r>
          </w:p>
        </w:tc>
        <w:tc>
          <w:tcPr>
            <w:tcW w:w="1804" w:type="dxa"/>
          </w:tcPr>
          <w:p w14:paraId="1B87B88A"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51.3%</w:t>
            </w:r>
          </w:p>
        </w:tc>
      </w:tr>
    </w:tbl>
    <w:p w14:paraId="056D8C30" w14:textId="77777777" w:rsidR="002F70CE" w:rsidRPr="002F70CE" w:rsidRDefault="002F70CE" w:rsidP="002F70CE">
      <w:pPr>
        <w:suppressAutoHyphens w:val="0"/>
        <w:autoSpaceDN/>
        <w:spacing w:after="160" w:line="259" w:lineRule="auto"/>
        <w:rPr>
          <w:rFonts w:ascii="Calibri" w:eastAsia="Calibri" w:hAnsi="Calibri"/>
          <w:color w:val="auto"/>
          <w:sz w:val="32"/>
          <w:szCs w:val="32"/>
          <w:lang w:eastAsia="en-US"/>
        </w:rPr>
      </w:pPr>
    </w:p>
    <w:tbl>
      <w:tblPr>
        <w:tblStyle w:val="TableGrid"/>
        <w:tblW w:w="0" w:type="auto"/>
        <w:tblLook w:val="04A0" w:firstRow="1" w:lastRow="0" w:firstColumn="1" w:lastColumn="0" w:noHBand="0" w:noVBand="1"/>
      </w:tblPr>
      <w:tblGrid>
        <w:gridCol w:w="1803"/>
        <w:gridCol w:w="1803"/>
        <w:gridCol w:w="1803"/>
        <w:gridCol w:w="1803"/>
        <w:gridCol w:w="1804"/>
      </w:tblGrid>
      <w:tr w:rsidR="002F70CE" w:rsidRPr="002F70CE" w14:paraId="778C2ED0" w14:textId="77777777" w:rsidTr="002A7819">
        <w:tc>
          <w:tcPr>
            <w:tcW w:w="1803" w:type="dxa"/>
          </w:tcPr>
          <w:p w14:paraId="56A7D165"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Year 1</w:t>
            </w:r>
          </w:p>
        </w:tc>
        <w:tc>
          <w:tcPr>
            <w:tcW w:w="1803" w:type="dxa"/>
            <w:shd w:val="clear" w:color="auto" w:fill="0070C0"/>
          </w:tcPr>
          <w:p w14:paraId="7F190639" w14:textId="77777777" w:rsidR="002F70CE" w:rsidRPr="002F70CE" w:rsidRDefault="002F70CE" w:rsidP="002F70CE">
            <w:pPr>
              <w:suppressAutoHyphens w:val="0"/>
              <w:spacing w:after="0" w:line="240" w:lineRule="auto"/>
              <w:rPr>
                <w:color w:val="auto"/>
                <w:sz w:val="32"/>
                <w:szCs w:val="32"/>
              </w:rPr>
            </w:pPr>
            <w:r w:rsidRPr="002F70CE">
              <w:rPr>
                <w:b/>
                <w:bCs/>
                <w:color w:val="FFFFFF"/>
                <w:sz w:val="32"/>
                <w:szCs w:val="32"/>
              </w:rPr>
              <w:t>Sandown ALL</w:t>
            </w:r>
          </w:p>
        </w:tc>
        <w:tc>
          <w:tcPr>
            <w:tcW w:w="1803" w:type="dxa"/>
            <w:shd w:val="clear" w:color="auto" w:fill="0070C0"/>
          </w:tcPr>
          <w:p w14:paraId="7E10C68B" w14:textId="77777777" w:rsidR="002F70CE" w:rsidRPr="002F70CE" w:rsidRDefault="002F70CE" w:rsidP="002F70CE">
            <w:pPr>
              <w:suppressAutoHyphens w:val="0"/>
              <w:spacing w:after="0" w:line="240" w:lineRule="auto"/>
              <w:rPr>
                <w:color w:val="auto"/>
                <w:sz w:val="32"/>
                <w:szCs w:val="32"/>
              </w:rPr>
            </w:pPr>
            <w:r w:rsidRPr="002F70CE">
              <w:rPr>
                <w:b/>
                <w:bCs/>
                <w:color w:val="FFFFFF"/>
                <w:sz w:val="32"/>
                <w:szCs w:val="32"/>
              </w:rPr>
              <w:t>Sandown Pupil Premium</w:t>
            </w:r>
          </w:p>
        </w:tc>
        <w:tc>
          <w:tcPr>
            <w:tcW w:w="1803" w:type="dxa"/>
            <w:shd w:val="clear" w:color="auto" w:fill="0070C0"/>
          </w:tcPr>
          <w:p w14:paraId="649DBCDA" w14:textId="77777777" w:rsidR="002F70CE" w:rsidRPr="002F70CE" w:rsidRDefault="002F70CE" w:rsidP="002F70CE">
            <w:pPr>
              <w:suppressAutoHyphens w:val="0"/>
              <w:spacing w:after="0" w:line="240" w:lineRule="auto"/>
              <w:rPr>
                <w:color w:val="auto"/>
                <w:sz w:val="32"/>
                <w:szCs w:val="32"/>
              </w:rPr>
            </w:pPr>
            <w:r w:rsidRPr="002F70CE">
              <w:rPr>
                <w:b/>
                <w:bCs/>
                <w:color w:val="FFFFFF"/>
                <w:sz w:val="32"/>
                <w:szCs w:val="32"/>
              </w:rPr>
              <w:t>National ALL</w:t>
            </w:r>
          </w:p>
        </w:tc>
        <w:tc>
          <w:tcPr>
            <w:tcW w:w="1804" w:type="dxa"/>
            <w:shd w:val="clear" w:color="auto" w:fill="0070C0"/>
          </w:tcPr>
          <w:p w14:paraId="1262E8DD" w14:textId="77777777" w:rsidR="002F70CE" w:rsidRPr="002F70CE" w:rsidRDefault="002F70CE" w:rsidP="002F70CE">
            <w:pPr>
              <w:suppressAutoHyphens w:val="0"/>
              <w:spacing w:after="0" w:line="240" w:lineRule="auto"/>
              <w:rPr>
                <w:color w:val="auto"/>
                <w:sz w:val="32"/>
                <w:szCs w:val="32"/>
              </w:rPr>
            </w:pPr>
            <w:r w:rsidRPr="002F70CE">
              <w:rPr>
                <w:b/>
                <w:bCs/>
                <w:color w:val="FFFFFF"/>
                <w:sz w:val="32"/>
                <w:szCs w:val="32"/>
              </w:rPr>
              <w:t>National Pupil premium</w:t>
            </w:r>
          </w:p>
        </w:tc>
      </w:tr>
      <w:tr w:rsidR="002F70CE" w:rsidRPr="002F70CE" w14:paraId="1426BF10" w14:textId="77777777" w:rsidTr="002A7819">
        <w:tc>
          <w:tcPr>
            <w:tcW w:w="1803" w:type="dxa"/>
          </w:tcPr>
          <w:p w14:paraId="57ECDB2C"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Phonics check</w:t>
            </w:r>
          </w:p>
        </w:tc>
        <w:tc>
          <w:tcPr>
            <w:tcW w:w="1803" w:type="dxa"/>
          </w:tcPr>
          <w:p w14:paraId="34A0F955"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80%</w:t>
            </w:r>
          </w:p>
        </w:tc>
        <w:tc>
          <w:tcPr>
            <w:tcW w:w="1803" w:type="dxa"/>
          </w:tcPr>
          <w:p w14:paraId="1E89FD42"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82.4%</w:t>
            </w:r>
          </w:p>
        </w:tc>
        <w:tc>
          <w:tcPr>
            <w:tcW w:w="1803" w:type="dxa"/>
          </w:tcPr>
          <w:p w14:paraId="2EC59C7A"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79.9%</w:t>
            </w:r>
          </w:p>
        </w:tc>
        <w:tc>
          <w:tcPr>
            <w:tcW w:w="1804" w:type="dxa"/>
          </w:tcPr>
          <w:p w14:paraId="6E10C371"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66.8%</w:t>
            </w:r>
          </w:p>
        </w:tc>
      </w:tr>
    </w:tbl>
    <w:p w14:paraId="2D7C89C7" w14:textId="77777777" w:rsidR="002F70CE" w:rsidRPr="002F70CE" w:rsidRDefault="002F70CE" w:rsidP="002F70CE">
      <w:pPr>
        <w:suppressAutoHyphens w:val="0"/>
        <w:autoSpaceDN/>
        <w:spacing w:after="160" w:line="259" w:lineRule="auto"/>
        <w:rPr>
          <w:rFonts w:ascii="Calibri" w:eastAsia="Calibri" w:hAnsi="Calibri"/>
          <w:color w:val="auto"/>
          <w:sz w:val="32"/>
          <w:szCs w:val="32"/>
          <w:lang w:eastAsia="en-US"/>
        </w:rPr>
      </w:pPr>
    </w:p>
    <w:tbl>
      <w:tblPr>
        <w:tblStyle w:val="TableGrid"/>
        <w:tblW w:w="0" w:type="auto"/>
        <w:tblLook w:val="04A0" w:firstRow="1" w:lastRow="0" w:firstColumn="1" w:lastColumn="0" w:noHBand="0" w:noVBand="1"/>
      </w:tblPr>
      <w:tblGrid>
        <w:gridCol w:w="1803"/>
        <w:gridCol w:w="1803"/>
        <w:gridCol w:w="1803"/>
        <w:gridCol w:w="1803"/>
        <w:gridCol w:w="1804"/>
      </w:tblGrid>
      <w:tr w:rsidR="002F70CE" w:rsidRPr="002F70CE" w14:paraId="57006746" w14:textId="77777777" w:rsidTr="002A7819">
        <w:tc>
          <w:tcPr>
            <w:tcW w:w="1803" w:type="dxa"/>
          </w:tcPr>
          <w:p w14:paraId="1DBE5D47"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Year 4 Multiplication Check</w:t>
            </w:r>
          </w:p>
        </w:tc>
        <w:tc>
          <w:tcPr>
            <w:tcW w:w="1803" w:type="dxa"/>
            <w:shd w:val="clear" w:color="auto" w:fill="0070C0"/>
          </w:tcPr>
          <w:p w14:paraId="2B0D394C"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Sandown ALL</w:t>
            </w:r>
          </w:p>
        </w:tc>
        <w:tc>
          <w:tcPr>
            <w:tcW w:w="1803" w:type="dxa"/>
            <w:shd w:val="clear" w:color="auto" w:fill="0070C0"/>
          </w:tcPr>
          <w:p w14:paraId="355BDD8B"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Sandown Pupil Premium</w:t>
            </w:r>
          </w:p>
        </w:tc>
        <w:tc>
          <w:tcPr>
            <w:tcW w:w="1803" w:type="dxa"/>
            <w:shd w:val="clear" w:color="auto" w:fill="0070C0"/>
          </w:tcPr>
          <w:p w14:paraId="204EFB89"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National ALL</w:t>
            </w:r>
          </w:p>
        </w:tc>
        <w:tc>
          <w:tcPr>
            <w:tcW w:w="1804" w:type="dxa"/>
            <w:shd w:val="clear" w:color="auto" w:fill="0070C0"/>
          </w:tcPr>
          <w:p w14:paraId="111468AD"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National Pupil premium</w:t>
            </w:r>
          </w:p>
        </w:tc>
      </w:tr>
      <w:tr w:rsidR="002F70CE" w:rsidRPr="002F70CE" w14:paraId="1B9D2631" w14:textId="77777777" w:rsidTr="002A7819">
        <w:tc>
          <w:tcPr>
            <w:tcW w:w="1803" w:type="dxa"/>
          </w:tcPr>
          <w:p w14:paraId="4586CBA2" w14:textId="77777777" w:rsidR="002F70CE" w:rsidRPr="002F70CE" w:rsidRDefault="002F70CE" w:rsidP="002F70CE">
            <w:pPr>
              <w:suppressAutoHyphens w:val="0"/>
              <w:spacing w:after="0" w:line="240" w:lineRule="auto"/>
              <w:rPr>
                <w:color w:val="auto"/>
                <w:sz w:val="32"/>
                <w:szCs w:val="32"/>
              </w:rPr>
            </w:pPr>
            <w:r w:rsidRPr="002F70CE">
              <w:rPr>
                <w:color w:val="auto"/>
                <w:sz w:val="32"/>
                <w:szCs w:val="32"/>
              </w:rPr>
              <w:t>Average Score</w:t>
            </w:r>
          </w:p>
        </w:tc>
        <w:tc>
          <w:tcPr>
            <w:tcW w:w="1803" w:type="dxa"/>
          </w:tcPr>
          <w:p w14:paraId="5F3EF292"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22.7</w:t>
            </w:r>
          </w:p>
        </w:tc>
        <w:tc>
          <w:tcPr>
            <w:tcW w:w="1803" w:type="dxa"/>
          </w:tcPr>
          <w:p w14:paraId="0CECBA63"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21.4</w:t>
            </w:r>
          </w:p>
        </w:tc>
        <w:tc>
          <w:tcPr>
            <w:tcW w:w="1803" w:type="dxa"/>
          </w:tcPr>
          <w:p w14:paraId="70B7184A"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20.6</w:t>
            </w:r>
          </w:p>
        </w:tc>
        <w:tc>
          <w:tcPr>
            <w:tcW w:w="1804" w:type="dxa"/>
          </w:tcPr>
          <w:p w14:paraId="3B2BD528"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19.3</w:t>
            </w:r>
          </w:p>
        </w:tc>
      </w:tr>
      <w:tr w:rsidR="002F70CE" w:rsidRPr="002F70CE" w14:paraId="7BF86512" w14:textId="77777777" w:rsidTr="002A7819">
        <w:tc>
          <w:tcPr>
            <w:tcW w:w="1803" w:type="dxa"/>
          </w:tcPr>
          <w:p w14:paraId="76CEE44A" w14:textId="77777777" w:rsidR="002F70CE" w:rsidRPr="002F70CE" w:rsidRDefault="002F70CE" w:rsidP="002F70CE">
            <w:pPr>
              <w:suppressAutoHyphens w:val="0"/>
              <w:spacing w:after="0" w:line="240" w:lineRule="auto"/>
              <w:rPr>
                <w:color w:val="auto"/>
                <w:sz w:val="32"/>
                <w:szCs w:val="32"/>
              </w:rPr>
            </w:pPr>
            <w:r w:rsidRPr="002F70CE">
              <w:rPr>
                <w:color w:val="auto"/>
                <w:sz w:val="32"/>
                <w:szCs w:val="32"/>
              </w:rPr>
              <w:t>21-25 score</w:t>
            </w:r>
          </w:p>
        </w:tc>
        <w:tc>
          <w:tcPr>
            <w:tcW w:w="1803" w:type="dxa"/>
          </w:tcPr>
          <w:p w14:paraId="7A18D773"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91.5%</w:t>
            </w:r>
          </w:p>
        </w:tc>
        <w:tc>
          <w:tcPr>
            <w:tcW w:w="1803" w:type="dxa"/>
          </w:tcPr>
          <w:p w14:paraId="260E5EA0" w14:textId="77777777" w:rsidR="002F70CE" w:rsidRPr="002F70CE" w:rsidRDefault="002F70CE" w:rsidP="002F70CE">
            <w:pPr>
              <w:suppressAutoHyphens w:val="0"/>
              <w:spacing w:after="0" w:line="240" w:lineRule="auto"/>
              <w:jc w:val="center"/>
              <w:rPr>
                <w:b/>
                <w:bCs/>
                <w:color w:val="auto"/>
                <w:sz w:val="32"/>
                <w:szCs w:val="32"/>
              </w:rPr>
            </w:pPr>
          </w:p>
        </w:tc>
        <w:tc>
          <w:tcPr>
            <w:tcW w:w="1803" w:type="dxa"/>
          </w:tcPr>
          <w:p w14:paraId="1050DFBE"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63.7</w:t>
            </w:r>
          </w:p>
        </w:tc>
        <w:tc>
          <w:tcPr>
            <w:tcW w:w="1804" w:type="dxa"/>
          </w:tcPr>
          <w:p w14:paraId="09A437AC" w14:textId="77777777" w:rsidR="002F70CE" w:rsidRPr="002F70CE" w:rsidRDefault="002F70CE" w:rsidP="002F70CE">
            <w:pPr>
              <w:suppressAutoHyphens w:val="0"/>
              <w:spacing w:after="0" w:line="240" w:lineRule="auto"/>
              <w:jc w:val="center"/>
              <w:rPr>
                <w:b/>
                <w:bCs/>
                <w:color w:val="auto"/>
                <w:sz w:val="32"/>
                <w:szCs w:val="32"/>
              </w:rPr>
            </w:pPr>
          </w:p>
        </w:tc>
      </w:tr>
    </w:tbl>
    <w:p w14:paraId="034A6E76" w14:textId="77777777" w:rsidR="002F70CE" w:rsidRPr="002F70CE" w:rsidRDefault="002F70CE" w:rsidP="002F70CE">
      <w:pPr>
        <w:suppressAutoHyphens w:val="0"/>
        <w:autoSpaceDN/>
        <w:spacing w:after="160" w:line="259" w:lineRule="auto"/>
        <w:rPr>
          <w:rFonts w:ascii="Calibri" w:eastAsia="Calibri" w:hAnsi="Calibri"/>
          <w:color w:val="auto"/>
          <w:sz w:val="32"/>
          <w:szCs w:val="32"/>
          <w:lang w:eastAsia="en-US"/>
        </w:rPr>
      </w:pPr>
    </w:p>
    <w:tbl>
      <w:tblPr>
        <w:tblStyle w:val="TableGrid"/>
        <w:tblW w:w="0" w:type="auto"/>
        <w:tblLook w:val="04A0" w:firstRow="1" w:lastRow="0" w:firstColumn="1" w:lastColumn="0" w:noHBand="0" w:noVBand="1"/>
      </w:tblPr>
      <w:tblGrid>
        <w:gridCol w:w="1928"/>
        <w:gridCol w:w="1774"/>
        <w:gridCol w:w="1774"/>
        <w:gridCol w:w="1766"/>
        <w:gridCol w:w="1774"/>
      </w:tblGrid>
      <w:tr w:rsidR="002F70CE" w:rsidRPr="002F70CE" w14:paraId="379F5C96" w14:textId="77777777" w:rsidTr="002A7819">
        <w:tc>
          <w:tcPr>
            <w:tcW w:w="1928" w:type="dxa"/>
          </w:tcPr>
          <w:p w14:paraId="597C4F5A"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Year 6</w:t>
            </w:r>
          </w:p>
          <w:p w14:paraId="10FD092A" w14:textId="77777777" w:rsidR="002F70CE" w:rsidRPr="002F70CE" w:rsidRDefault="002F70CE" w:rsidP="002F70CE">
            <w:pPr>
              <w:suppressAutoHyphens w:val="0"/>
              <w:spacing w:after="0" w:line="240" w:lineRule="auto"/>
              <w:rPr>
                <w:b/>
                <w:bCs/>
                <w:color w:val="auto"/>
                <w:sz w:val="32"/>
                <w:szCs w:val="32"/>
              </w:rPr>
            </w:pPr>
            <w:r w:rsidRPr="002F70CE">
              <w:rPr>
                <w:b/>
                <w:bCs/>
                <w:color w:val="auto"/>
                <w:sz w:val="32"/>
                <w:szCs w:val="32"/>
              </w:rPr>
              <w:t>Expected Standard</w:t>
            </w:r>
          </w:p>
        </w:tc>
        <w:tc>
          <w:tcPr>
            <w:tcW w:w="1774" w:type="dxa"/>
            <w:shd w:val="clear" w:color="auto" w:fill="0070C0"/>
          </w:tcPr>
          <w:p w14:paraId="56555617"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Sandown ALL</w:t>
            </w:r>
          </w:p>
        </w:tc>
        <w:tc>
          <w:tcPr>
            <w:tcW w:w="1774" w:type="dxa"/>
            <w:shd w:val="clear" w:color="auto" w:fill="0070C0"/>
          </w:tcPr>
          <w:p w14:paraId="22D49549"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Sandown Pupil Premium</w:t>
            </w:r>
          </w:p>
        </w:tc>
        <w:tc>
          <w:tcPr>
            <w:tcW w:w="1766" w:type="dxa"/>
            <w:shd w:val="clear" w:color="auto" w:fill="0070C0"/>
          </w:tcPr>
          <w:p w14:paraId="506FDEB2"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National ALL</w:t>
            </w:r>
          </w:p>
        </w:tc>
        <w:tc>
          <w:tcPr>
            <w:tcW w:w="1774" w:type="dxa"/>
            <w:shd w:val="clear" w:color="auto" w:fill="0070C0"/>
          </w:tcPr>
          <w:p w14:paraId="6EBF2FF2" w14:textId="77777777" w:rsidR="002F70CE" w:rsidRPr="002F70CE" w:rsidRDefault="002F70CE" w:rsidP="002F70CE">
            <w:pPr>
              <w:suppressAutoHyphens w:val="0"/>
              <w:spacing w:after="0" w:line="240" w:lineRule="auto"/>
              <w:rPr>
                <w:color w:val="FFFFFF"/>
                <w:sz w:val="32"/>
                <w:szCs w:val="32"/>
              </w:rPr>
            </w:pPr>
            <w:r w:rsidRPr="002F70CE">
              <w:rPr>
                <w:b/>
                <w:bCs/>
                <w:color w:val="FFFFFF"/>
                <w:sz w:val="32"/>
                <w:szCs w:val="32"/>
              </w:rPr>
              <w:t>National Pupil premium</w:t>
            </w:r>
          </w:p>
        </w:tc>
      </w:tr>
      <w:tr w:rsidR="002F70CE" w:rsidRPr="002F70CE" w14:paraId="5B4455DB" w14:textId="77777777" w:rsidTr="002A7819">
        <w:tc>
          <w:tcPr>
            <w:tcW w:w="1928" w:type="dxa"/>
          </w:tcPr>
          <w:p w14:paraId="77AFC220" w14:textId="77777777" w:rsidR="002F70CE" w:rsidRPr="002F70CE" w:rsidRDefault="002F70CE" w:rsidP="002F70CE">
            <w:pPr>
              <w:suppressAutoHyphens w:val="0"/>
              <w:spacing w:after="0" w:line="240" w:lineRule="auto"/>
              <w:rPr>
                <w:color w:val="auto"/>
                <w:sz w:val="32"/>
                <w:szCs w:val="32"/>
              </w:rPr>
            </w:pPr>
            <w:r w:rsidRPr="002F70CE">
              <w:rPr>
                <w:color w:val="auto"/>
                <w:sz w:val="32"/>
                <w:szCs w:val="32"/>
              </w:rPr>
              <w:t xml:space="preserve">Reading </w:t>
            </w:r>
          </w:p>
        </w:tc>
        <w:tc>
          <w:tcPr>
            <w:tcW w:w="1774" w:type="dxa"/>
          </w:tcPr>
          <w:p w14:paraId="2CB74B73"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86.4%</w:t>
            </w:r>
          </w:p>
        </w:tc>
        <w:tc>
          <w:tcPr>
            <w:tcW w:w="1774" w:type="dxa"/>
          </w:tcPr>
          <w:p w14:paraId="0ED63E24"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75%</w:t>
            </w:r>
          </w:p>
        </w:tc>
        <w:tc>
          <w:tcPr>
            <w:tcW w:w="1766" w:type="dxa"/>
          </w:tcPr>
          <w:p w14:paraId="4C1AA9DE"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75%</w:t>
            </w:r>
          </w:p>
        </w:tc>
        <w:tc>
          <w:tcPr>
            <w:tcW w:w="1774" w:type="dxa"/>
          </w:tcPr>
          <w:p w14:paraId="35F38BBB"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63.1%</w:t>
            </w:r>
          </w:p>
        </w:tc>
      </w:tr>
      <w:tr w:rsidR="002F70CE" w:rsidRPr="002F70CE" w14:paraId="70B9D733" w14:textId="77777777" w:rsidTr="002A7819">
        <w:tc>
          <w:tcPr>
            <w:tcW w:w="1928" w:type="dxa"/>
          </w:tcPr>
          <w:p w14:paraId="679E92FD" w14:textId="77777777" w:rsidR="002F70CE" w:rsidRPr="002F70CE" w:rsidRDefault="002F70CE" w:rsidP="002F70CE">
            <w:pPr>
              <w:suppressAutoHyphens w:val="0"/>
              <w:spacing w:after="0" w:line="240" w:lineRule="auto"/>
              <w:rPr>
                <w:color w:val="auto"/>
                <w:sz w:val="32"/>
                <w:szCs w:val="32"/>
              </w:rPr>
            </w:pPr>
            <w:r w:rsidRPr="002F70CE">
              <w:rPr>
                <w:color w:val="auto"/>
                <w:sz w:val="32"/>
                <w:szCs w:val="32"/>
              </w:rPr>
              <w:t>Writing</w:t>
            </w:r>
          </w:p>
        </w:tc>
        <w:tc>
          <w:tcPr>
            <w:tcW w:w="1774" w:type="dxa"/>
          </w:tcPr>
          <w:p w14:paraId="4979EB58"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81.4%</w:t>
            </w:r>
          </w:p>
        </w:tc>
        <w:tc>
          <w:tcPr>
            <w:tcW w:w="1774" w:type="dxa"/>
          </w:tcPr>
          <w:p w14:paraId="65467D56"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72.2%</w:t>
            </w:r>
          </w:p>
        </w:tc>
        <w:tc>
          <w:tcPr>
            <w:tcW w:w="1766" w:type="dxa"/>
          </w:tcPr>
          <w:p w14:paraId="5C433B6F"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70.8%</w:t>
            </w:r>
          </w:p>
        </w:tc>
        <w:tc>
          <w:tcPr>
            <w:tcW w:w="1774" w:type="dxa"/>
          </w:tcPr>
          <w:p w14:paraId="1A4C0072"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59.4%</w:t>
            </w:r>
          </w:p>
        </w:tc>
      </w:tr>
      <w:tr w:rsidR="002F70CE" w:rsidRPr="002F70CE" w14:paraId="0AC11B63" w14:textId="77777777" w:rsidTr="002A7819">
        <w:tc>
          <w:tcPr>
            <w:tcW w:w="1928" w:type="dxa"/>
          </w:tcPr>
          <w:p w14:paraId="2481ABCD" w14:textId="77777777" w:rsidR="002F70CE" w:rsidRPr="002F70CE" w:rsidRDefault="002F70CE" w:rsidP="002F70CE">
            <w:pPr>
              <w:suppressAutoHyphens w:val="0"/>
              <w:spacing w:after="0" w:line="240" w:lineRule="auto"/>
              <w:rPr>
                <w:color w:val="auto"/>
                <w:sz w:val="32"/>
                <w:szCs w:val="32"/>
              </w:rPr>
            </w:pPr>
            <w:r w:rsidRPr="002F70CE">
              <w:rPr>
                <w:color w:val="auto"/>
                <w:sz w:val="32"/>
                <w:szCs w:val="32"/>
              </w:rPr>
              <w:t>Mathematics</w:t>
            </w:r>
          </w:p>
        </w:tc>
        <w:tc>
          <w:tcPr>
            <w:tcW w:w="1774" w:type="dxa"/>
          </w:tcPr>
          <w:p w14:paraId="1DA89D15"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89.8%</w:t>
            </w:r>
          </w:p>
        </w:tc>
        <w:tc>
          <w:tcPr>
            <w:tcW w:w="1774" w:type="dxa"/>
          </w:tcPr>
          <w:p w14:paraId="689EFEA6"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83.3%</w:t>
            </w:r>
          </w:p>
        </w:tc>
        <w:tc>
          <w:tcPr>
            <w:tcW w:w="1766" w:type="dxa"/>
          </w:tcPr>
          <w:p w14:paraId="369C2635"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74%</w:t>
            </w:r>
          </w:p>
        </w:tc>
        <w:tc>
          <w:tcPr>
            <w:tcW w:w="1774" w:type="dxa"/>
          </w:tcPr>
          <w:p w14:paraId="1F729B6B"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60.5%</w:t>
            </w:r>
          </w:p>
        </w:tc>
      </w:tr>
      <w:tr w:rsidR="002F70CE" w:rsidRPr="002F70CE" w14:paraId="467B14FE" w14:textId="77777777" w:rsidTr="002A7819">
        <w:tc>
          <w:tcPr>
            <w:tcW w:w="1928" w:type="dxa"/>
          </w:tcPr>
          <w:p w14:paraId="2D444B54" w14:textId="77777777" w:rsidR="002F70CE" w:rsidRPr="002F70CE" w:rsidRDefault="002F70CE" w:rsidP="002F70CE">
            <w:pPr>
              <w:suppressAutoHyphens w:val="0"/>
              <w:spacing w:after="0" w:line="240" w:lineRule="auto"/>
              <w:rPr>
                <w:color w:val="auto"/>
                <w:sz w:val="32"/>
                <w:szCs w:val="32"/>
              </w:rPr>
            </w:pPr>
            <w:r w:rsidRPr="002F70CE">
              <w:rPr>
                <w:color w:val="auto"/>
                <w:sz w:val="32"/>
                <w:szCs w:val="32"/>
              </w:rPr>
              <w:t>RWM Combined</w:t>
            </w:r>
          </w:p>
        </w:tc>
        <w:tc>
          <w:tcPr>
            <w:tcW w:w="1774" w:type="dxa"/>
          </w:tcPr>
          <w:p w14:paraId="300AAF5B"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79.7%</w:t>
            </w:r>
          </w:p>
        </w:tc>
        <w:tc>
          <w:tcPr>
            <w:tcW w:w="1774" w:type="dxa"/>
          </w:tcPr>
          <w:p w14:paraId="24F607BB"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66.7%</w:t>
            </w:r>
          </w:p>
        </w:tc>
        <w:tc>
          <w:tcPr>
            <w:tcW w:w="1766" w:type="dxa"/>
          </w:tcPr>
          <w:p w14:paraId="0D936A54"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62.2%</w:t>
            </w:r>
          </w:p>
        </w:tc>
        <w:tc>
          <w:tcPr>
            <w:tcW w:w="1774" w:type="dxa"/>
          </w:tcPr>
          <w:p w14:paraId="6B62C060" w14:textId="77777777" w:rsidR="002F70CE" w:rsidRPr="002F70CE" w:rsidRDefault="002F70CE" w:rsidP="002F70CE">
            <w:pPr>
              <w:suppressAutoHyphens w:val="0"/>
              <w:spacing w:after="0" w:line="240" w:lineRule="auto"/>
              <w:jc w:val="center"/>
              <w:rPr>
                <w:b/>
                <w:bCs/>
                <w:color w:val="auto"/>
                <w:sz w:val="32"/>
                <w:szCs w:val="32"/>
              </w:rPr>
            </w:pPr>
            <w:r w:rsidRPr="002F70CE">
              <w:rPr>
                <w:b/>
                <w:bCs/>
                <w:color w:val="auto"/>
                <w:sz w:val="32"/>
                <w:szCs w:val="32"/>
              </w:rPr>
              <w:t>47.4%</w:t>
            </w:r>
          </w:p>
        </w:tc>
      </w:tr>
    </w:tbl>
    <w:p w14:paraId="7AE12053" w14:textId="77777777" w:rsidR="002F70CE" w:rsidRPr="002F70CE" w:rsidRDefault="002F70CE" w:rsidP="002F70CE">
      <w:pPr>
        <w:suppressAutoHyphens w:val="0"/>
        <w:autoSpaceDN/>
        <w:spacing w:after="160" w:line="259" w:lineRule="auto"/>
        <w:rPr>
          <w:rFonts w:ascii="Calibri" w:eastAsia="Calibri" w:hAnsi="Calibri"/>
          <w:color w:val="auto"/>
          <w:sz w:val="32"/>
          <w:szCs w:val="32"/>
          <w:lang w:eastAsia="en-US"/>
        </w:rPr>
      </w:pPr>
    </w:p>
    <w:p w14:paraId="128B9A3D" w14:textId="262D4E19" w:rsidR="007772D6" w:rsidRDefault="007772D6"/>
    <w:p w14:paraId="5C26FFA7" w14:textId="77777777" w:rsidR="007772D6" w:rsidRDefault="007772D6"/>
    <w:tbl>
      <w:tblPr>
        <w:tblW w:w="9493" w:type="dxa"/>
        <w:tblCellMar>
          <w:left w:w="10" w:type="dxa"/>
          <w:right w:w="10" w:type="dxa"/>
        </w:tblCellMar>
        <w:tblLook w:val="04A0" w:firstRow="1" w:lastRow="0" w:firstColumn="1" w:lastColumn="0" w:noHBand="0" w:noVBand="1"/>
      </w:tblPr>
      <w:tblGrid>
        <w:gridCol w:w="4746"/>
        <w:gridCol w:w="4747"/>
      </w:tblGrid>
      <w:tr w:rsidR="00D613F3" w14:paraId="62A232D6" w14:textId="77777777" w:rsidTr="00D613F3">
        <w:trPr>
          <w:trHeight w:val="580"/>
        </w:trPr>
        <w:tc>
          <w:tcPr>
            <w:tcW w:w="474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F90EBC0" w14:textId="6BF8B5D0" w:rsidR="00D613F3" w:rsidRPr="00D613F3" w:rsidRDefault="000208D4" w:rsidP="00927600">
            <w:pPr>
              <w:rPr>
                <w:color w:val="FFFFFF" w:themeColor="background1"/>
                <w:lang w:eastAsia="en-US"/>
              </w:rPr>
            </w:pPr>
            <w:r>
              <w:rPr>
                <w:color w:val="FFFFFF" w:themeColor="background1"/>
                <w:lang w:eastAsia="en-US"/>
              </w:rPr>
              <w:lastRenderedPageBreak/>
              <w:t>Aims</w:t>
            </w:r>
          </w:p>
        </w:tc>
        <w:tc>
          <w:tcPr>
            <w:tcW w:w="4747" w:type="dxa"/>
            <w:tcBorders>
              <w:top w:val="single" w:sz="4" w:space="0" w:color="000000"/>
              <w:left w:val="single" w:sz="4" w:space="0" w:color="000000"/>
              <w:bottom w:val="single" w:sz="4" w:space="0" w:color="000000"/>
              <w:right w:val="single" w:sz="4" w:space="0" w:color="000000"/>
            </w:tcBorders>
            <w:shd w:val="clear" w:color="auto" w:fill="0070C0"/>
          </w:tcPr>
          <w:p w14:paraId="35B101E3" w14:textId="1B368E5B" w:rsidR="00D613F3" w:rsidRPr="00D613F3" w:rsidRDefault="000208D4" w:rsidP="00927600">
            <w:pPr>
              <w:rPr>
                <w:color w:val="FFFFFF" w:themeColor="background1"/>
                <w:lang w:eastAsia="en-US"/>
              </w:rPr>
            </w:pPr>
            <w:r>
              <w:rPr>
                <w:color w:val="FFFFFF" w:themeColor="background1"/>
                <w:lang w:eastAsia="en-US"/>
              </w:rPr>
              <w:t xml:space="preserve">  Outcome</w:t>
            </w:r>
          </w:p>
        </w:tc>
      </w:tr>
      <w:tr w:rsidR="00D613F3" w14:paraId="2A7D5547" w14:textId="77777777" w:rsidTr="00D367CE">
        <w:trPr>
          <w:trHeight w:val="1102"/>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F39B" w14:textId="64B848EA" w:rsidR="00D613F3" w:rsidRPr="00BD5301" w:rsidRDefault="000208D4" w:rsidP="00927600">
            <w:pPr>
              <w:rPr>
                <w:color w:val="auto"/>
                <w:lang w:eastAsia="en-US"/>
              </w:rPr>
            </w:pPr>
            <w:r>
              <w:t>Closing the attainment gap between Disadvantaged Pupils and all learners.</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46CD2C7B" w14:textId="6A75441D" w:rsidR="00D613F3" w:rsidRDefault="006A1C46" w:rsidP="00927600">
            <w:pPr>
              <w:rPr>
                <w:color w:val="auto"/>
                <w:lang w:eastAsia="en-US"/>
              </w:rPr>
            </w:pPr>
            <w:r>
              <w:rPr>
                <w:color w:val="auto"/>
                <w:lang w:eastAsia="en-US"/>
              </w:rPr>
              <w:t>There is a significant increase and closing of the disadvantaged gap in early years. 4</w:t>
            </w:r>
            <w:r w:rsidR="00ED5EF6">
              <w:rPr>
                <w:color w:val="auto"/>
                <w:lang w:eastAsia="en-US"/>
              </w:rPr>
              <w:t>6.7</w:t>
            </w:r>
            <w:r>
              <w:rPr>
                <w:color w:val="auto"/>
                <w:lang w:eastAsia="en-US"/>
              </w:rPr>
              <w:t xml:space="preserve"> % of pupil premium children achieved GLD which shows a </w:t>
            </w:r>
            <w:r w:rsidR="00ED5EF6">
              <w:rPr>
                <w:color w:val="auto"/>
                <w:lang w:eastAsia="en-US"/>
              </w:rPr>
              <w:t>four</w:t>
            </w:r>
            <w:r>
              <w:rPr>
                <w:color w:val="auto"/>
                <w:lang w:eastAsia="en-US"/>
              </w:rPr>
              <w:t xml:space="preserve"> year upward trend.</w:t>
            </w:r>
          </w:p>
          <w:p w14:paraId="7ACA9DD0" w14:textId="45E0A4AD" w:rsidR="006A1C46" w:rsidRDefault="006A1C46" w:rsidP="00927600">
            <w:pPr>
              <w:rPr>
                <w:color w:val="auto"/>
                <w:lang w:eastAsia="en-US"/>
              </w:rPr>
            </w:pPr>
            <w:r>
              <w:rPr>
                <w:color w:val="auto"/>
                <w:lang w:eastAsia="en-US"/>
              </w:rPr>
              <w:t xml:space="preserve">The gap in phonics has closed over the last </w:t>
            </w:r>
            <w:r w:rsidR="00ED5EF6">
              <w:rPr>
                <w:color w:val="auto"/>
                <w:lang w:eastAsia="en-US"/>
              </w:rPr>
              <w:t>4</w:t>
            </w:r>
            <w:r>
              <w:rPr>
                <w:color w:val="auto"/>
                <w:lang w:eastAsia="en-US"/>
              </w:rPr>
              <w:t xml:space="preserve"> years</w:t>
            </w:r>
            <w:r w:rsidR="00ED5EF6">
              <w:rPr>
                <w:color w:val="auto"/>
                <w:lang w:eastAsia="en-US"/>
              </w:rPr>
              <w:t>. Disadvantaged pupils achieved 2.4% higher than non- disadvantaged in 2025. Significantly above the national average</w:t>
            </w:r>
          </w:p>
          <w:p w14:paraId="2A7D5546" w14:textId="7144D319" w:rsidR="006A1C46" w:rsidRPr="00BD5301" w:rsidRDefault="006A1C46" w:rsidP="00927600">
            <w:pPr>
              <w:rPr>
                <w:color w:val="auto"/>
                <w:lang w:eastAsia="en-US"/>
              </w:rPr>
            </w:pPr>
            <w:r>
              <w:rPr>
                <w:color w:val="auto"/>
                <w:lang w:eastAsia="en-US"/>
              </w:rPr>
              <w:t>Disadvantaged pupils excel in the year 4 multiplication check having significantly above national averages every year since the check’s introduction. The average was 2</w:t>
            </w:r>
            <w:r w:rsidR="00ED5EF6">
              <w:rPr>
                <w:color w:val="auto"/>
                <w:lang w:eastAsia="en-US"/>
              </w:rPr>
              <w:t>1</w:t>
            </w:r>
            <w:r>
              <w:rPr>
                <w:color w:val="auto"/>
                <w:lang w:eastAsia="en-US"/>
              </w:rPr>
              <w:t>.</w:t>
            </w:r>
            <w:r w:rsidR="00ED5EF6">
              <w:rPr>
                <w:color w:val="auto"/>
                <w:lang w:eastAsia="en-US"/>
              </w:rPr>
              <w:t>4</w:t>
            </w:r>
            <w:r>
              <w:rPr>
                <w:color w:val="auto"/>
                <w:lang w:eastAsia="en-US"/>
              </w:rPr>
              <w:t xml:space="preserve"> compared to the national average of 1</w:t>
            </w:r>
            <w:r w:rsidR="00ED5EF6">
              <w:rPr>
                <w:color w:val="auto"/>
                <w:lang w:eastAsia="en-US"/>
              </w:rPr>
              <w:t>9</w:t>
            </w:r>
            <w:r>
              <w:rPr>
                <w:color w:val="auto"/>
                <w:lang w:eastAsia="en-US"/>
              </w:rPr>
              <w:t>.3.</w:t>
            </w:r>
          </w:p>
        </w:tc>
      </w:tr>
      <w:tr w:rsidR="000208D4" w14:paraId="561F9F7E" w14:textId="77777777" w:rsidTr="00D367CE">
        <w:trPr>
          <w:trHeight w:val="1102"/>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C674" w14:textId="4C4B98C4" w:rsidR="000208D4" w:rsidRPr="00BD5301" w:rsidRDefault="007E5C15" w:rsidP="00927600">
            <w:pPr>
              <w:rPr>
                <w:color w:val="auto"/>
                <w:lang w:eastAsia="en-US"/>
              </w:rPr>
            </w:pPr>
            <w:r>
              <w:t>All pupils reach the expected standard in reading by the time they leave the school in Year 6</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3A47233D" w14:textId="761821EF" w:rsidR="000208D4" w:rsidRPr="00BD5301" w:rsidRDefault="006A1C46" w:rsidP="00927600">
            <w:pPr>
              <w:rPr>
                <w:color w:val="auto"/>
                <w:lang w:eastAsia="en-US"/>
              </w:rPr>
            </w:pPr>
            <w:r>
              <w:rPr>
                <w:color w:val="auto"/>
                <w:lang w:eastAsia="en-US"/>
              </w:rPr>
              <w:t xml:space="preserve">For the last </w:t>
            </w:r>
            <w:r w:rsidR="00FA05C1">
              <w:rPr>
                <w:color w:val="auto"/>
                <w:lang w:eastAsia="en-US"/>
              </w:rPr>
              <w:t>4</w:t>
            </w:r>
            <w:r>
              <w:rPr>
                <w:color w:val="auto"/>
                <w:lang w:eastAsia="en-US"/>
              </w:rPr>
              <w:t xml:space="preserve"> years Sandown disadvantaged </w:t>
            </w:r>
            <w:r w:rsidR="00FA05C1">
              <w:rPr>
                <w:color w:val="auto"/>
                <w:lang w:eastAsia="en-US"/>
              </w:rPr>
              <w:t>pupils</w:t>
            </w:r>
            <w:r>
              <w:rPr>
                <w:color w:val="auto"/>
                <w:lang w:eastAsia="en-US"/>
              </w:rPr>
              <w:t xml:space="preserve"> have achieved above the national average. In 2</w:t>
            </w:r>
            <w:r w:rsidR="00FA05C1">
              <w:rPr>
                <w:color w:val="auto"/>
                <w:lang w:eastAsia="en-US"/>
              </w:rPr>
              <w:t>4</w:t>
            </w:r>
            <w:r>
              <w:rPr>
                <w:color w:val="auto"/>
                <w:lang w:eastAsia="en-US"/>
              </w:rPr>
              <w:t>/2</w:t>
            </w:r>
            <w:r w:rsidR="00FA05C1">
              <w:rPr>
                <w:color w:val="auto"/>
                <w:lang w:eastAsia="en-US"/>
              </w:rPr>
              <w:t>25</w:t>
            </w:r>
            <w:r>
              <w:rPr>
                <w:color w:val="auto"/>
                <w:lang w:eastAsia="en-US"/>
              </w:rPr>
              <w:t xml:space="preserve"> combined RWM was </w:t>
            </w:r>
            <w:r w:rsidR="00FA05C1">
              <w:rPr>
                <w:color w:val="auto"/>
                <w:lang w:eastAsia="en-US"/>
              </w:rPr>
              <w:t>66.7</w:t>
            </w:r>
            <w:r>
              <w:rPr>
                <w:color w:val="auto"/>
                <w:lang w:eastAsia="en-US"/>
              </w:rPr>
              <w:t>% compared to the national average of 4</w:t>
            </w:r>
            <w:r w:rsidR="00FA05C1">
              <w:rPr>
                <w:color w:val="auto"/>
                <w:lang w:eastAsia="en-US"/>
              </w:rPr>
              <w:t>7.4</w:t>
            </w:r>
            <w:r>
              <w:rPr>
                <w:color w:val="auto"/>
                <w:lang w:eastAsia="en-US"/>
              </w:rPr>
              <w:t xml:space="preserve">%. </w:t>
            </w:r>
            <w:r w:rsidR="00FA05C1">
              <w:rPr>
                <w:color w:val="auto"/>
                <w:lang w:eastAsia="en-US"/>
              </w:rPr>
              <w:t>Disadvantaged children in reading achieved 75% significantly above the national average and the same as the national average for non-disadvantaged pupils.</w:t>
            </w:r>
          </w:p>
        </w:tc>
      </w:tr>
      <w:tr w:rsidR="000208D4" w14:paraId="32B741EE" w14:textId="77777777" w:rsidTr="00D367CE">
        <w:trPr>
          <w:trHeight w:val="1102"/>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74C7" w14:textId="5B514237" w:rsidR="000208D4" w:rsidRDefault="000208D4" w:rsidP="00927600">
            <w:r>
              <w:t>To achieve and sustain improved attendance for all pupils, particularly our disadvantaged pupils.</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16C02596" w14:textId="048CEDCA" w:rsidR="00876F04" w:rsidRDefault="00876F04" w:rsidP="00927600">
            <w:pPr>
              <w:rPr>
                <w:color w:val="auto"/>
                <w:lang w:eastAsia="en-US"/>
              </w:rPr>
            </w:pPr>
            <w:r>
              <w:rPr>
                <w:color w:val="auto"/>
                <w:lang w:eastAsia="en-US"/>
              </w:rPr>
              <w:t>Disadvantaged pupils at Sandown attend significantly more regularly than the national average.</w:t>
            </w:r>
          </w:p>
          <w:p w14:paraId="1460218A" w14:textId="753B0406" w:rsidR="000208D4" w:rsidRDefault="00445744" w:rsidP="00927600">
            <w:pPr>
              <w:rPr>
                <w:color w:val="auto"/>
                <w:lang w:eastAsia="en-US"/>
              </w:rPr>
            </w:pPr>
            <w:r>
              <w:rPr>
                <w:color w:val="auto"/>
                <w:lang w:eastAsia="en-US"/>
              </w:rPr>
              <w:t>Attendance of pupil premium pupils in the academic year 202</w:t>
            </w:r>
            <w:r w:rsidR="00FA05C1">
              <w:rPr>
                <w:color w:val="auto"/>
                <w:lang w:eastAsia="en-US"/>
              </w:rPr>
              <w:t>4</w:t>
            </w:r>
            <w:r>
              <w:rPr>
                <w:color w:val="auto"/>
                <w:lang w:eastAsia="en-US"/>
              </w:rPr>
              <w:t>/2</w:t>
            </w:r>
            <w:r w:rsidR="00FA05C1">
              <w:rPr>
                <w:color w:val="auto"/>
                <w:lang w:eastAsia="en-US"/>
              </w:rPr>
              <w:t>5</w:t>
            </w:r>
            <w:r>
              <w:rPr>
                <w:color w:val="auto"/>
                <w:lang w:eastAsia="en-US"/>
              </w:rPr>
              <w:t xml:space="preserve"> was 9</w:t>
            </w:r>
            <w:r w:rsidR="00663498">
              <w:rPr>
                <w:color w:val="auto"/>
                <w:lang w:eastAsia="en-US"/>
              </w:rPr>
              <w:t>4</w:t>
            </w:r>
            <w:r>
              <w:rPr>
                <w:color w:val="auto"/>
                <w:lang w:eastAsia="en-US"/>
              </w:rPr>
              <w:t>.</w:t>
            </w:r>
            <w:r w:rsidR="00267F51">
              <w:rPr>
                <w:color w:val="auto"/>
                <w:lang w:eastAsia="en-US"/>
              </w:rPr>
              <w:t>4</w:t>
            </w:r>
            <w:r>
              <w:rPr>
                <w:color w:val="auto"/>
                <w:lang w:eastAsia="en-US"/>
              </w:rPr>
              <w:t xml:space="preserve">% which was </w:t>
            </w:r>
            <w:r w:rsidR="00267F51">
              <w:rPr>
                <w:color w:val="auto"/>
                <w:lang w:eastAsia="en-US"/>
              </w:rPr>
              <w:t>above</w:t>
            </w:r>
            <w:r>
              <w:rPr>
                <w:color w:val="auto"/>
                <w:lang w:eastAsia="en-US"/>
              </w:rPr>
              <w:t xml:space="preserve"> national average of 9</w:t>
            </w:r>
            <w:r w:rsidR="00267F51">
              <w:rPr>
                <w:color w:val="auto"/>
                <w:lang w:eastAsia="en-US"/>
              </w:rPr>
              <w:t>2</w:t>
            </w:r>
            <w:r>
              <w:rPr>
                <w:color w:val="auto"/>
                <w:lang w:eastAsia="en-US"/>
              </w:rPr>
              <w:t>.</w:t>
            </w:r>
            <w:r w:rsidR="00267F51">
              <w:rPr>
                <w:color w:val="auto"/>
                <w:lang w:eastAsia="en-US"/>
              </w:rPr>
              <w:t>4</w:t>
            </w:r>
            <w:r>
              <w:rPr>
                <w:color w:val="auto"/>
                <w:lang w:eastAsia="en-US"/>
              </w:rPr>
              <w:t>%</w:t>
            </w:r>
            <w:r w:rsidR="00663498">
              <w:rPr>
                <w:color w:val="auto"/>
                <w:lang w:eastAsia="en-US"/>
              </w:rPr>
              <w:t>. This has been a significant success and disadvantaged pupils are attending school regularly</w:t>
            </w:r>
            <w:r w:rsidR="00267F51">
              <w:rPr>
                <w:color w:val="auto"/>
                <w:lang w:eastAsia="en-US"/>
              </w:rPr>
              <w:t>. This has been above for the last 3 years.</w:t>
            </w:r>
          </w:p>
          <w:p w14:paraId="4AF6D991" w14:textId="6C4D2851" w:rsidR="00445744" w:rsidRDefault="00445744" w:rsidP="00927600">
            <w:pPr>
              <w:rPr>
                <w:color w:val="auto"/>
                <w:lang w:eastAsia="en-US"/>
              </w:rPr>
            </w:pPr>
            <w:r>
              <w:rPr>
                <w:color w:val="auto"/>
                <w:lang w:eastAsia="en-US"/>
              </w:rPr>
              <w:t xml:space="preserve">Persistent absence was </w:t>
            </w:r>
            <w:r w:rsidR="00267F51">
              <w:rPr>
                <w:color w:val="auto"/>
                <w:lang w:eastAsia="en-US"/>
              </w:rPr>
              <w:t>1</w:t>
            </w:r>
            <w:r>
              <w:rPr>
                <w:color w:val="auto"/>
                <w:lang w:eastAsia="en-US"/>
              </w:rPr>
              <w:t>6</w:t>
            </w:r>
            <w:r w:rsidR="00267F51">
              <w:rPr>
                <w:color w:val="auto"/>
                <w:lang w:eastAsia="en-US"/>
              </w:rPr>
              <w:t>.1</w:t>
            </w:r>
            <w:r>
              <w:rPr>
                <w:color w:val="auto"/>
                <w:lang w:eastAsia="en-US"/>
              </w:rPr>
              <w:t>%</w:t>
            </w:r>
            <w:r w:rsidR="00663498">
              <w:rPr>
                <w:color w:val="auto"/>
                <w:lang w:eastAsia="en-US"/>
              </w:rPr>
              <w:t xml:space="preserve"> for pupil premium children compared to a national percentage of </w:t>
            </w:r>
            <w:r w:rsidR="00267F51">
              <w:rPr>
                <w:color w:val="auto"/>
                <w:lang w:eastAsia="en-US"/>
              </w:rPr>
              <w:t>24.5</w:t>
            </w:r>
            <w:r w:rsidR="00663498">
              <w:rPr>
                <w:color w:val="auto"/>
                <w:lang w:eastAsia="en-US"/>
              </w:rPr>
              <w:t xml:space="preserve">%. This has been a </w:t>
            </w:r>
            <w:r w:rsidR="00663498">
              <w:rPr>
                <w:color w:val="auto"/>
                <w:lang w:eastAsia="en-US"/>
              </w:rPr>
              <w:lastRenderedPageBreak/>
              <w:t>significant success and disadvantaged pupils are attending school regularly</w:t>
            </w:r>
            <w:r w:rsidR="00267F51">
              <w:rPr>
                <w:color w:val="auto"/>
                <w:lang w:eastAsia="en-US"/>
              </w:rPr>
              <w:t xml:space="preserve">. </w:t>
            </w:r>
            <w:proofErr w:type="gramStart"/>
            <w:r w:rsidR="00267F51">
              <w:rPr>
                <w:color w:val="auto"/>
                <w:lang w:eastAsia="en-US"/>
              </w:rPr>
              <w:t>Again</w:t>
            </w:r>
            <w:proofErr w:type="gramEnd"/>
            <w:r w:rsidR="00267F51">
              <w:rPr>
                <w:color w:val="auto"/>
                <w:lang w:eastAsia="en-US"/>
              </w:rPr>
              <w:t xml:space="preserve"> this has been the pattern for the last 3 years.</w:t>
            </w:r>
          </w:p>
          <w:p w14:paraId="1E18A679" w14:textId="222A9F2B" w:rsidR="00505693" w:rsidRPr="00BD5301" w:rsidRDefault="00505693" w:rsidP="00927600">
            <w:pPr>
              <w:rPr>
                <w:color w:val="auto"/>
                <w:lang w:eastAsia="en-US"/>
              </w:rPr>
            </w:pPr>
            <w:r>
              <w:rPr>
                <w:color w:val="auto"/>
                <w:lang w:eastAsia="en-US"/>
              </w:rPr>
              <w:t>The school attendance officer regularly supports other schools and is commended for strong practice by the TASS (</w:t>
            </w:r>
            <w:r w:rsidR="002E3609">
              <w:rPr>
                <w:color w:val="auto"/>
                <w:lang w:eastAsia="en-US"/>
              </w:rPr>
              <w:t>T</w:t>
            </w:r>
            <w:r>
              <w:rPr>
                <w:color w:val="auto"/>
                <w:lang w:eastAsia="en-US"/>
              </w:rPr>
              <w:t>eam Around the School and Setting) East Sussex team.</w:t>
            </w:r>
          </w:p>
        </w:tc>
      </w:tr>
      <w:tr w:rsidR="000208D4" w14:paraId="176C29E5" w14:textId="77777777" w:rsidTr="00D367CE">
        <w:trPr>
          <w:trHeight w:val="1102"/>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8D08" w14:textId="49A74FD0" w:rsidR="000208D4" w:rsidRDefault="000208D4" w:rsidP="00927600">
            <w:r>
              <w:lastRenderedPageBreak/>
              <w:t>Essential Skills for Life embedded across the school and wider community</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12D52EAC" w14:textId="495D9A36" w:rsidR="000208D4" w:rsidRPr="00BD5301" w:rsidRDefault="00E278B5" w:rsidP="00927600">
            <w:pPr>
              <w:rPr>
                <w:color w:val="auto"/>
                <w:lang w:eastAsia="en-US"/>
              </w:rPr>
            </w:pPr>
            <w:r>
              <w:t>Skills Builder underpins our visions and values at Sandown School. The 8 Essential Skills are recognised as being the skills we all need to be successful in life. The explicit teaching of each skill across the curriculum and celebration of the skills through whole school awards and rewards ensures that all stakeholders recognise the importance of building skills for life. All of our children but particularly our Disadvantaged Pupils understand the importance of working and making a positive contribution to society and their community. We achieved the GOLD Skillsbuilder award this year under the accelerated skills builder program.</w:t>
            </w:r>
          </w:p>
        </w:tc>
      </w:tr>
    </w:tbl>
    <w:p w14:paraId="6D7AFE00" w14:textId="77777777" w:rsidR="00EB48FC" w:rsidRDefault="00EB48FC">
      <w:pPr>
        <w:pStyle w:val="Heading2"/>
        <w:spacing w:before="600"/>
      </w:pPr>
    </w:p>
    <w:p w14:paraId="459135E9" w14:textId="6710930D" w:rsidR="00EB48FC" w:rsidRDefault="00EB48FC">
      <w:pPr>
        <w:pStyle w:val="Heading2"/>
        <w:spacing w:before="600"/>
      </w:pPr>
    </w:p>
    <w:p w14:paraId="01E63BA8" w14:textId="788B5F04" w:rsidR="00267F51" w:rsidRDefault="00267F51" w:rsidP="00267F51"/>
    <w:p w14:paraId="15C90522" w14:textId="77777777" w:rsidR="00267F51" w:rsidRPr="00267F51" w:rsidRDefault="00267F51" w:rsidP="00267F51"/>
    <w:p w14:paraId="0673DFC0" w14:textId="77777777" w:rsidR="00EB48FC" w:rsidRDefault="00EB48FC">
      <w:pPr>
        <w:pStyle w:val="Heading2"/>
        <w:spacing w:before="600"/>
      </w:pPr>
    </w:p>
    <w:p w14:paraId="2A7D5548" w14:textId="42C7CF98"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D613F3">
        <w:tc>
          <w:tcPr>
            <w:tcW w:w="481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4A" w14:textId="77777777" w:rsidR="00E66558" w:rsidRPr="00D613F3" w:rsidRDefault="009D71E8">
            <w:pPr>
              <w:pStyle w:val="TableHeader"/>
              <w:jc w:val="left"/>
              <w:rPr>
                <w:color w:val="FFFFFF" w:themeColor="background1"/>
              </w:rPr>
            </w:pPr>
            <w:r w:rsidRPr="00D613F3">
              <w:rPr>
                <w:color w:val="FFFFFF" w:themeColor="background1"/>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4B" w14:textId="77777777" w:rsidR="00E66558" w:rsidRPr="00D613F3" w:rsidRDefault="009D71E8">
            <w:pPr>
              <w:pStyle w:val="TableHeader"/>
              <w:jc w:val="left"/>
              <w:rPr>
                <w:color w:val="FFFFFF" w:themeColor="background1"/>
              </w:rPr>
            </w:pPr>
            <w:r w:rsidRPr="00D613F3">
              <w:rPr>
                <w:color w:val="FFFFFF" w:themeColor="background1"/>
              </w:rP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96041C6" w:rsidR="00E66558" w:rsidRDefault="000246D5">
            <w:pPr>
              <w:pStyle w:val="TableRow"/>
            </w:pPr>
            <w:r>
              <w:t>Read, Write,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AB356FE" w:rsidR="00E66558" w:rsidRDefault="000246D5">
            <w:pPr>
              <w:pStyle w:val="TableRowCentered"/>
              <w:jc w:val="left"/>
            </w:pPr>
            <w:r>
              <w:t>Read, Write, Inc. Phonics</w:t>
            </w:r>
            <w:r w:rsidR="003E5058">
              <w:t>- Ruth Miskin</w:t>
            </w:r>
          </w:p>
        </w:tc>
      </w:tr>
      <w:tr w:rsidR="005F47FB" w14:paraId="3E773A0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B612" w14:textId="1832315D" w:rsidR="005F47FB" w:rsidRDefault="005F47FB">
            <w:pPr>
              <w:pStyle w:val="TableRow"/>
            </w:pPr>
            <w:r>
              <w:t>Talk for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D11E" w14:textId="141BE884" w:rsidR="005F47FB" w:rsidRDefault="005F47FB">
            <w:pPr>
              <w:pStyle w:val="TableRowCentered"/>
              <w:jc w:val="left"/>
            </w:pPr>
            <w:r>
              <w:t>Pie Corbett Talk for Writing</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BA2C71D" w:rsidR="00E66558" w:rsidRDefault="003E5058">
            <w:pPr>
              <w:pStyle w:val="TableRow"/>
            </w:pPr>
            <w:r>
              <w:t>Doodle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74E5831" w:rsidR="00E66558" w:rsidRDefault="003E5058">
            <w:pPr>
              <w:pStyle w:val="TableRowCentered"/>
              <w:jc w:val="left"/>
            </w:pPr>
            <w:r>
              <w:t>Doodle Learning</w:t>
            </w:r>
          </w:p>
        </w:tc>
      </w:tr>
      <w:tr w:rsidR="003E5058" w14:paraId="21FCCC7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4B8F" w14:textId="6F6A6A1D" w:rsidR="003E5058" w:rsidRDefault="003E5058">
            <w:pPr>
              <w:pStyle w:val="TableRow"/>
            </w:pPr>
            <w:r>
              <w:t>Doodle Spell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79BB2" w14:textId="7F41FF91" w:rsidR="003E5058" w:rsidRDefault="003E5058">
            <w:pPr>
              <w:pStyle w:val="TableRowCentered"/>
              <w:jc w:val="left"/>
            </w:pPr>
            <w:r>
              <w:t>Doodle Learning</w:t>
            </w:r>
          </w:p>
        </w:tc>
      </w:tr>
      <w:tr w:rsidR="003E5058" w14:paraId="764E05B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9336" w14:textId="39F2CFF0" w:rsidR="003E5058" w:rsidRDefault="003E5058">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6CFC" w14:textId="3C9789B2" w:rsidR="003E5058" w:rsidRDefault="003E5058">
            <w:pPr>
              <w:pStyle w:val="TableRowCentered"/>
              <w:jc w:val="left"/>
            </w:pPr>
            <w:r>
              <w:t>Renaissance</w:t>
            </w:r>
          </w:p>
        </w:tc>
      </w:tr>
      <w:tr w:rsidR="003E5058" w14:paraId="4F32BE3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432D" w14:textId="7773089A" w:rsidR="003E5058" w:rsidRDefault="003E5058">
            <w:pPr>
              <w:pStyle w:val="TableRow"/>
            </w:pPr>
            <w:r>
              <w:t>Language Angels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DD7F5" w14:textId="41DBD5FA" w:rsidR="003E5058" w:rsidRDefault="0086345E">
            <w:pPr>
              <w:pStyle w:val="TableRowCentered"/>
              <w:jc w:val="left"/>
            </w:pPr>
            <w:r>
              <w:t>Language Angels</w:t>
            </w:r>
          </w:p>
        </w:tc>
      </w:tr>
      <w:tr w:rsidR="003E5058" w14:paraId="03A6DE9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B3ED" w14:textId="15E8EF4A" w:rsidR="003E5058" w:rsidRDefault="0086345E">
            <w:pPr>
              <w:pStyle w:val="TableRow"/>
            </w:pPr>
            <w:r>
              <w:t xml:space="preserve">Mastering Number at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3EDF" w14:textId="3D888609" w:rsidR="003E5058" w:rsidRDefault="0086345E">
            <w:pPr>
              <w:pStyle w:val="TableRowCentered"/>
              <w:jc w:val="left"/>
            </w:pPr>
            <w:r>
              <w:t>NCETM</w:t>
            </w:r>
          </w:p>
        </w:tc>
      </w:tr>
      <w:tr w:rsidR="0086345E" w14:paraId="70DE2A5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28B4" w14:textId="5D57E97B" w:rsidR="0086345E" w:rsidRDefault="0086345E">
            <w:pPr>
              <w:pStyle w:val="TableRow"/>
            </w:pPr>
            <w:r>
              <w:t>Mastering Number at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75D5" w14:textId="64A6CE56" w:rsidR="0086345E" w:rsidRDefault="0086345E">
            <w:pPr>
              <w:pStyle w:val="TableRowCentered"/>
              <w:jc w:val="left"/>
            </w:pPr>
            <w:r>
              <w:t>NCETM</w:t>
            </w:r>
          </w:p>
        </w:tc>
      </w:tr>
      <w:tr w:rsidR="0086345E" w14:paraId="3FDC02A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541D" w14:textId="32398C6B" w:rsidR="0086345E" w:rsidRDefault="0086345E">
            <w:pPr>
              <w:pStyle w:val="TableRow"/>
            </w:pPr>
            <w:r>
              <w:t>Zones of 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89A81" w14:textId="4565EC38" w:rsidR="0086345E" w:rsidRDefault="0086345E">
            <w:pPr>
              <w:pStyle w:val="TableRowCentered"/>
              <w:jc w:val="left"/>
            </w:pPr>
            <w:r>
              <w:t>Zones of Regulation</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00D613F3">
        <w:tc>
          <w:tcPr>
            <w:tcW w:w="481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55" w14:textId="77777777" w:rsidR="00E66558" w:rsidRPr="00D613F3" w:rsidRDefault="009D71E8">
            <w:pPr>
              <w:pStyle w:val="TableHeader"/>
              <w:jc w:val="left"/>
              <w:rPr>
                <w:color w:val="FFFFFF" w:themeColor="background1"/>
              </w:rPr>
            </w:pPr>
            <w:bookmarkStart w:id="17" w:name="_Hlk80604898"/>
            <w:r w:rsidRPr="00D613F3">
              <w:rPr>
                <w:bCs/>
                <w:color w:val="FFFFFF" w:themeColor="background1"/>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A7D5556" w14:textId="77777777" w:rsidR="00E66558" w:rsidRPr="00D613F3" w:rsidRDefault="009D71E8">
            <w:pPr>
              <w:pStyle w:val="TableHeader"/>
              <w:jc w:val="left"/>
              <w:rPr>
                <w:color w:val="FFFFFF" w:themeColor="background1"/>
              </w:rPr>
            </w:pPr>
            <w:r w:rsidRPr="00D613F3">
              <w:rPr>
                <w:bCs/>
                <w:color w:val="FFFFFF" w:themeColor="background1"/>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38F99D11" w:rsidR="00E66558" w:rsidRDefault="009740FA">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FDCC590" w:rsidR="00E66558" w:rsidRDefault="009740FA">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7777777" w:rsidR="00E66558" w:rsidRDefault="00E66558" w:rsidP="00927600">
            <w:pPr>
              <w:spacing w:before="120" w:after="120"/>
              <w:rPr>
                <w:i/>
                <w:iCs/>
              </w:rPr>
            </w:pP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4345" w14:textId="77777777" w:rsidR="00162D4B" w:rsidRDefault="00162D4B">
      <w:pPr>
        <w:spacing w:after="0" w:line="240" w:lineRule="auto"/>
      </w:pPr>
      <w:r>
        <w:separator/>
      </w:r>
    </w:p>
  </w:endnote>
  <w:endnote w:type="continuationSeparator" w:id="0">
    <w:p w14:paraId="40FD28C5" w14:textId="77777777" w:rsidR="00162D4B" w:rsidRDefault="0016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E469F7A" w:rsidR="005E28A4" w:rsidRDefault="009D71E8">
    <w:pPr>
      <w:pStyle w:val="Footer"/>
      <w:ind w:firstLine="4513"/>
    </w:pPr>
    <w:r>
      <w:fldChar w:fldCharType="begin"/>
    </w:r>
    <w:r>
      <w:instrText xml:space="preserve"> PAGE </w:instrText>
    </w:r>
    <w:r>
      <w:fldChar w:fldCharType="separate"/>
    </w:r>
    <w:r w:rsidR="00794A98">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6AEF" w14:textId="77777777" w:rsidR="00162D4B" w:rsidRDefault="00162D4B">
      <w:pPr>
        <w:spacing w:after="0" w:line="240" w:lineRule="auto"/>
      </w:pPr>
      <w:r>
        <w:separator/>
      </w:r>
    </w:p>
  </w:footnote>
  <w:footnote w:type="continuationSeparator" w:id="0">
    <w:p w14:paraId="18CB4DB2" w14:textId="77777777" w:rsidR="00162D4B" w:rsidRDefault="0016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267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FE9"/>
    <w:multiLevelType w:val="hybridMultilevel"/>
    <w:tmpl w:val="710682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0591"/>
    <w:multiLevelType w:val="hybridMultilevel"/>
    <w:tmpl w:val="65781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D29F3"/>
    <w:multiLevelType w:val="hybridMultilevel"/>
    <w:tmpl w:val="F84AB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3AF0CE0"/>
    <w:multiLevelType w:val="hybridMultilevel"/>
    <w:tmpl w:val="3F64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20B71CA"/>
    <w:multiLevelType w:val="hybridMultilevel"/>
    <w:tmpl w:val="4562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6892"/>
    <w:multiLevelType w:val="hybridMultilevel"/>
    <w:tmpl w:val="F6FE13E8"/>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3"/>
  </w:num>
  <w:num w:numId="6">
    <w:abstractNumId w:val="11"/>
  </w:num>
  <w:num w:numId="7">
    <w:abstractNumId w:val="15"/>
  </w:num>
  <w:num w:numId="8">
    <w:abstractNumId w:val="19"/>
  </w:num>
  <w:num w:numId="9">
    <w:abstractNumId w:val="17"/>
  </w:num>
  <w:num w:numId="10">
    <w:abstractNumId w:val="16"/>
  </w:num>
  <w:num w:numId="11">
    <w:abstractNumId w:val="5"/>
  </w:num>
  <w:num w:numId="12">
    <w:abstractNumId w:val="18"/>
  </w:num>
  <w:num w:numId="13">
    <w:abstractNumId w:val="14"/>
  </w:num>
  <w:num w:numId="14">
    <w:abstractNumId w:val="13"/>
  </w:num>
  <w:num w:numId="15">
    <w:abstractNumId w:val="10"/>
  </w:num>
  <w:num w:numId="16">
    <w:abstractNumId w:val="1"/>
  </w:num>
  <w:num w:numId="17">
    <w:abstractNumId w:val="12"/>
  </w:num>
  <w:num w:numId="18">
    <w:abstractNumId w:val="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298"/>
    <w:rsid w:val="00011CAF"/>
    <w:rsid w:val="000208D4"/>
    <w:rsid w:val="000243B4"/>
    <w:rsid w:val="000246D5"/>
    <w:rsid w:val="00030DBF"/>
    <w:rsid w:val="00033FCE"/>
    <w:rsid w:val="00066B73"/>
    <w:rsid w:val="00085443"/>
    <w:rsid w:val="000A5854"/>
    <w:rsid w:val="000B608F"/>
    <w:rsid w:val="000D7866"/>
    <w:rsid w:val="00120AB1"/>
    <w:rsid w:val="00144A02"/>
    <w:rsid w:val="00144C2B"/>
    <w:rsid w:val="00152A85"/>
    <w:rsid w:val="00162D4B"/>
    <w:rsid w:val="00181682"/>
    <w:rsid w:val="00183B14"/>
    <w:rsid w:val="001A0C8D"/>
    <w:rsid w:val="001B50DC"/>
    <w:rsid w:val="001D170C"/>
    <w:rsid w:val="00211547"/>
    <w:rsid w:val="002232EE"/>
    <w:rsid w:val="0025477E"/>
    <w:rsid w:val="00267F51"/>
    <w:rsid w:val="0027350E"/>
    <w:rsid w:val="002E13DA"/>
    <w:rsid w:val="002E3609"/>
    <w:rsid w:val="002E7183"/>
    <w:rsid w:val="002F6F91"/>
    <w:rsid w:val="002F70CE"/>
    <w:rsid w:val="0037437C"/>
    <w:rsid w:val="003E5058"/>
    <w:rsid w:val="003F20A6"/>
    <w:rsid w:val="004044AA"/>
    <w:rsid w:val="00445744"/>
    <w:rsid w:val="004825D4"/>
    <w:rsid w:val="0049329A"/>
    <w:rsid w:val="004E29BA"/>
    <w:rsid w:val="0050346A"/>
    <w:rsid w:val="00505693"/>
    <w:rsid w:val="00563A18"/>
    <w:rsid w:val="0057621B"/>
    <w:rsid w:val="0059008B"/>
    <w:rsid w:val="005D7081"/>
    <w:rsid w:val="005E153D"/>
    <w:rsid w:val="005E2EDD"/>
    <w:rsid w:val="005F47FB"/>
    <w:rsid w:val="00602EF0"/>
    <w:rsid w:val="0062112C"/>
    <w:rsid w:val="00634238"/>
    <w:rsid w:val="00635FBC"/>
    <w:rsid w:val="00663498"/>
    <w:rsid w:val="00670FC4"/>
    <w:rsid w:val="006A05B3"/>
    <w:rsid w:val="006A1C46"/>
    <w:rsid w:val="006B09EE"/>
    <w:rsid w:val="006D1A30"/>
    <w:rsid w:val="006E6B4A"/>
    <w:rsid w:val="006E6B81"/>
    <w:rsid w:val="006E7FB1"/>
    <w:rsid w:val="0072093B"/>
    <w:rsid w:val="00740297"/>
    <w:rsid w:val="00741B9E"/>
    <w:rsid w:val="007772D6"/>
    <w:rsid w:val="00786CB8"/>
    <w:rsid w:val="00794A98"/>
    <w:rsid w:val="007A3E85"/>
    <w:rsid w:val="007A45DD"/>
    <w:rsid w:val="007B06A4"/>
    <w:rsid w:val="007C2F04"/>
    <w:rsid w:val="007E5C15"/>
    <w:rsid w:val="00857A03"/>
    <w:rsid w:val="00862854"/>
    <w:rsid w:val="0086345E"/>
    <w:rsid w:val="00876F04"/>
    <w:rsid w:val="0089405F"/>
    <w:rsid w:val="008A4237"/>
    <w:rsid w:val="008B5948"/>
    <w:rsid w:val="008B73A3"/>
    <w:rsid w:val="008D41EC"/>
    <w:rsid w:val="00913538"/>
    <w:rsid w:val="00927600"/>
    <w:rsid w:val="009740FA"/>
    <w:rsid w:val="00984DCA"/>
    <w:rsid w:val="00997678"/>
    <w:rsid w:val="009A2807"/>
    <w:rsid w:val="009A71B7"/>
    <w:rsid w:val="009A7E15"/>
    <w:rsid w:val="009D71E8"/>
    <w:rsid w:val="00A10014"/>
    <w:rsid w:val="00A811E0"/>
    <w:rsid w:val="00AC27B6"/>
    <w:rsid w:val="00AE22BF"/>
    <w:rsid w:val="00AE2827"/>
    <w:rsid w:val="00AF1D33"/>
    <w:rsid w:val="00B102F5"/>
    <w:rsid w:val="00BD5301"/>
    <w:rsid w:val="00BF1B47"/>
    <w:rsid w:val="00BF766C"/>
    <w:rsid w:val="00C113B2"/>
    <w:rsid w:val="00C14E0D"/>
    <w:rsid w:val="00C43C40"/>
    <w:rsid w:val="00C500DC"/>
    <w:rsid w:val="00C620A2"/>
    <w:rsid w:val="00C83459"/>
    <w:rsid w:val="00D0305E"/>
    <w:rsid w:val="00D04393"/>
    <w:rsid w:val="00D06874"/>
    <w:rsid w:val="00D33FE5"/>
    <w:rsid w:val="00D613F3"/>
    <w:rsid w:val="00DD4336"/>
    <w:rsid w:val="00E11051"/>
    <w:rsid w:val="00E278B5"/>
    <w:rsid w:val="00E301C0"/>
    <w:rsid w:val="00E3571E"/>
    <w:rsid w:val="00E3627D"/>
    <w:rsid w:val="00E54F4F"/>
    <w:rsid w:val="00E66558"/>
    <w:rsid w:val="00E91800"/>
    <w:rsid w:val="00E95372"/>
    <w:rsid w:val="00EB48FC"/>
    <w:rsid w:val="00ED5EF6"/>
    <w:rsid w:val="00EF1298"/>
    <w:rsid w:val="00F64468"/>
    <w:rsid w:val="00F65434"/>
    <w:rsid w:val="00FA05C1"/>
    <w:rsid w:val="00FD035D"/>
    <w:rsid w:val="00FD1D62"/>
    <w:rsid w:val="00FE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1bodycopy">
    <w:name w:val="1 body copy"/>
    <w:basedOn w:val="Normal"/>
    <w:link w:val="1bodycopyChar"/>
    <w:qFormat/>
    <w:rsid w:val="00EB48FC"/>
    <w:pPr>
      <w:suppressAutoHyphens w:val="0"/>
      <w:autoSpaceDN/>
      <w:spacing w:after="120" w:line="240" w:lineRule="auto"/>
      <w:ind w:right="284"/>
    </w:pPr>
    <w:rPr>
      <w:rFonts w:eastAsia="MS Mincho"/>
      <w:color w:val="auto"/>
      <w:sz w:val="20"/>
      <w:lang w:val="en-US" w:eastAsia="en-US"/>
    </w:rPr>
  </w:style>
  <w:style w:type="character" w:customStyle="1" w:styleId="1bodycopyChar">
    <w:name w:val="1 body copy Char"/>
    <w:link w:val="1bodycopy"/>
    <w:rsid w:val="00EB48FC"/>
    <w:rPr>
      <w:rFonts w:eastAsia="MS Mincho"/>
      <w:szCs w:val="24"/>
      <w:lang w:val="en-US" w:eastAsia="en-US"/>
    </w:rPr>
  </w:style>
  <w:style w:type="table" w:styleId="TableGrid">
    <w:name w:val="Table Grid"/>
    <w:basedOn w:val="TableNormal"/>
    <w:uiPriority w:val="39"/>
    <w:rsid w:val="002F70CE"/>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941873">
      <w:bodyDiv w:val="1"/>
      <w:marLeft w:val="0"/>
      <w:marRight w:val="0"/>
      <w:marTop w:val="0"/>
      <w:marBottom w:val="0"/>
      <w:divBdr>
        <w:top w:val="none" w:sz="0" w:space="0" w:color="auto"/>
        <w:left w:val="none" w:sz="0" w:space="0" w:color="auto"/>
        <w:bottom w:val="none" w:sz="0" w:space="0" w:color="auto"/>
        <w:right w:val="none" w:sz="0" w:space="0" w:color="auto"/>
      </w:divBdr>
    </w:div>
    <w:div w:id="644505499">
      <w:bodyDiv w:val="1"/>
      <w:marLeft w:val="0"/>
      <w:marRight w:val="0"/>
      <w:marTop w:val="0"/>
      <w:marBottom w:val="0"/>
      <w:divBdr>
        <w:top w:val="none" w:sz="0" w:space="0" w:color="auto"/>
        <w:left w:val="none" w:sz="0" w:space="0" w:color="auto"/>
        <w:bottom w:val="none" w:sz="0" w:space="0" w:color="auto"/>
        <w:right w:val="none" w:sz="0" w:space="0" w:color="auto"/>
      </w:divBdr>
    </w:div>
    <w:div w:id="1020622432">
      <w:bodyDiv w:val="1"/>
      <w:marLeft w:val="0"/>
      <w:marRight w:val="0"/>
      <w:marTop w:val="0"/>
      <w:marBottom w:val="0"/>
      <w:divBdr>
        <w:top w:val="none" w:sz="0" w:space="0" w:color="auto"/>
        <w:left w:val="none" w:sz="0" w:space="0" w:color="auto"/>
        <w:bottom w:val="none" w:sz="0" w:space="0" w:color="auto"/>
        <w:right w:val="none" w:sz="0" w:space="0" w:color="auto"/>
      </w:divBdr>
    </w:div>
    <w:div w:id="1077096764">
      <w:bodyDiv w:val="1"/>
      <w:marLeft w:val="0"/>
      <w:marRight w:val="0"/>
      <w:marTop w:val="0"/>
      <w:marBottom w:val="0"/>
      <w:divBdr>
        <w:top w:val="none" w:sz="0" w:space="0" w:color="auto"/>
        <w:left w:val="none" w:sz="0" w:space="0" w:color="auto"/>
        <w:bottom w:val="none" w:sz="0" w:space="0" w:color="auto"/>
        <w:right w:val="none" w:sz="0" w:space="0" w:color="auto"/>
      </w:divBdr>
    </w:div>
    <w:div w:id="1520847886">
      <w:bodyDiv w:val="1"/>
      <w:marLeft w:val="0"/>
      <w:marRight w:val="0"/>
      <w:marTop w:val="0"/>
      <w:marBottom w:val="0"/>
      <w:divBdr>
        <w:top w:val="none" w:sz="0" w:space="0" w:color="auto"/>
        <w:left w:val="none" w:sz="0" w:space="0" w:color="auto"/>
        <w:bottom w:val="none" w:sz="0" w:space="0" w:color="auto"/>
        <w:right w:val="none" w:sz="0" w:space="0" w:color="auto"/>
      </w:divBdr>
    </w:div>
    <w:div w:id="2006467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education-statistics.service.gov.uk/find-statistics/the-link-between-absence-and-attainment-at-ks2-and-ks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phon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hub.blog.gov.uk/category/second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Head Teacher</cp:lastModifiedBy>
  <cp:revision>2</cp:revision>
  <cp:lastPrinted>2014-09-17T13:26:00Z</cp:lastPrinted>
  <dcterms:created xsi:type="dcterms:W3CDTF">2025-12-15T12:55:00Z</dcterms:created>
  <dcterms:modified xsi:type="dcterms:W3CDTF">2025-12-15T12:55:00Z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